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0BB3">
      <w:pPr>
        <w:spacing w:line="360"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电气信息工程</w:t>
      </w:r>
      <w:r>
        <w:rPr>
          <w:rFonts w:hint="eastAsia" w:ascii="Times New Roman" w:hAnsi="Times New Roman" w:eastAsia="黑体" w:cs="Times New Roman"/>
          <w:sz w:val="36"/>
          <w:szCs w:val="36"/>
        </w:rPr>
        <w:t>学院2025年</w:t>
      </w:r>
      <w:bookmarkStart w:id="0" w:name="OLE_LINK1"/>
      <w:bookmarkStart w:id="1" w:name="OLE_LINK2"/>
      <w:r>
        <w:rPr>
          <w:rFonts w:hint="eastAsia" w:ascii="Times New Roman" w:hAnsi="Times New Roman" w:eastAsia="黑体" w:cs="Times New Roman"/>
          <w:sz w:val="36"/>
          <w:szCs w:val="36"/>
        </w:rPr>
        <w:t>硕士</w:t>
      </w:r>
      <w:r>
        <w:rPr>
          <w:rFonts w:ascii="Times New Roman" w:hAnsi="Times New Roman" w:eastAsia="黑体" w:cs="Times New Roman"/>
          <w:sz w:val="36"/>
          <w:szCs w:val="36"/>
        </w:rPr>
        <w:t>研究生</w:t>
      </w:r>
      <w:r>
        <w:rPr>
          <w:rFonts w:hint="eastAsia" w:ascii="Times New Roman" w:hAnsi="Times New Roman" w:eastAsia="黑体" w:cs="Times New Roman"/>
          <w:sz w:val="36"/>
          <w:szCs w:val="36"/>
        </w:rPr>
        <w:t>招生</w:t>
      </w:r>
    </w:p>
    <w:p w14:paraId="2730F6AD">
      <w:pPr>
        <w:spacing w:line="360" w:lineRule="auto"/>
        <w:jc w:val="center"/>
        <w:rPr>
          <w:rFonts w:ascii="Times New Roman" w:hAnsi="Times New Roman" w:eastAsia="黑体" w:cs="Times New Roman"/>
          <w:sz w:val="36"/>
          <w:szCs w:val="36"/>
        </w:rPr>
      </w:pPr>
      <w:bookmarkStart w:id="2" w:name="OLE_LINK3"/>
      <w:bookmarkStart w:id="3" w:name="OLE_LINK4"/>
      <w:r>
        <w:rPr>
          <w:rFonts w:hint="eastAsia" w:ascii="Times New Roman" w:hAnsi="Times New Roman" w:eastAsia="黑体" w:cs="Times New Roman"/>
          <w:sz w:val="36"/>
          <w:szCs w:val="36"/>
        </w:rPr>
        <w:t>复试录取工作实施细则</w:t>
      </w:r>
    </w:p>
    <w:bookmarkEnd w:id="0"/>
    <w:bookmarkEnd w:id="1"/>
    <w:bookmarkEnd w:id="2"/>
    <w:bookmarkEnd w:id="3"/>
    <w:p w14:paraId="2AF310AD">
      <w:pPr>
        <w:ind w:firstLine="560" w:firstLineChars="200"/>
        <w:rPr>
          <w:rFonts w:hint="eastAsia" w:ascii="仿宋" w:hAnsi="仿宋" w:eastAsia="仿宋"/>
          <w:sz w:val="28"/>
          <w:szCs w:val="28"/>
        </w:rPr>
      </w:pPr>
      <w:r>
        <w:rPr>
          <w:rFonts w:hint="eastAsia" w:ascii="仿宋" w:hAnsi="仿宋" w:eastAsia="仿宋"/>
          <w:sz w:val="28"/>
          <w:szCs w:val="28"/>
        </w:rPr>
        <w:t>根据《常州工学院2025年硕士研究生招生复试录取办法》</w:t>
      </w:r>
      <w:r>
        <w:rPr>
          <w:rFonts w:hint="eastAsia" w:ascii="仿宋" w:hAnsi="仿宋" w:eastAsia="仿宋"/>
          <w:sz w:val="28"/>
          <w:szCs w:val="28"/>
          <w:lang w:eastAsia="zh-CN"/>
        </w:rPr>
        <w:t>（</w:t>
      </w:r>
      <w:r>
        <w:rPr>
          <w:rFonts w:hint="eastAsia" w:ascii="仿宋" w:hAnsi="仿宋" w:eastAsia="仿宋"/>
          <w:sz w:val="28"/>
          <w:szCs w:val="28"/>
        </w:rPr>
        <w:t>常工政〔2025〕22号</w:t>
      </w:r>
      <w:r>
        <w:rPr>
          <w:rFonts w:hint="eastAsia" w:ascii="仿宋" w:hAnsi="仿宋" w:eastAsia="仿宋"/>
          <w:sz w:val="28"/>
          <w:szCs w:val="28"/>
          <w:lang w:eastAsia="zh-CN"/>
        </w:rPr>
        <w:t>）</w:t>
      </w:r>
      <w:r>
        <w:rPr>
          <w:rFonts w:hint="eastAsia" w:ascii="仿宋" w:hAnsi="仿宋" w:eastAsia="仿宋"/>
          <w:sz w:val="28"/>
          <w:szCs w:val="28"/>
        </w:rPr>
        <w:t>及相关文件要求，结合我院实际情况，特制定本细则。</w:t>
      </w:r>
    </w:p>
    <w:p w14:paraId="53E71F84">
      <w:pPr>
        <w:ind w:firstLine="560" w:firstLineChars="200"/>
        <w:rPr>
          <w:rFonts w:hint="eastAsia" w:ascii="黑体" w:hAnsi="黑体" w:eastAsia="黑体" w:cs="黑体"/>
          <w:sz w:val="28"/>
          <w:szCs w:val="28"/>
        </w:rPr>
      </w:pPr>
      <w:r>
        <w:rPr>
          <w:rFonts w:hint="eastAsia" w:ascii="黑体" w:hAnsi="黑体" w:eastAsia="黑体" w:cs="黑体"/>
          <w:sz w:val="28"/>
          <w:szCs w:val="28"/>
        </w:rPr>
        <w:t>一、基本原则</w:t>
      </w:r>
    </w:p>
    <w:p w14:paraId="378FE2E1">
      <w:pPr>
        <w:ind w:firstLine="560" w:firstLineChars="200"/>
        <w:rPr>
          <w:rFonts w:hint="eastAsia" w:ascii="仿宋" w:hAnsi="仿宋" w:eastAsia="仿宋"/>
          <w:sz w:val="28"/>
          <w:szCs w:val="28"/>
        </w:rPr>
      </w:pPr>
      <w:r>
        <w:rPr>
          <w:rFonts w:hint="eastAsia" w:ascii="仿宋" w:hAnsi="仿宋" w:eastAsia="仿宋"/>
          <w:sz w:val="28"/>
          <w:szCs w:val="28"/>
        </w:rPr>
        <w:t>1.坚持“学术标准、全面考核、择优录取、宁缺毋滥”的原则，在确保安全性、公平性和科学性的基础上，统筹兼顾、精准施策、严格管理，稳妥完成硕士研究生复试工作，科学选拔优秀人才。</w:t>
      </w:r>
    </w:p>
    <w:p w14:paraId="726E2418">
      <w:pPr>
        <w:ind w:firstLine="560" w:firstLineChars="200"/>
        <w:rPr>
          <w:rFonts w:hint="eastAsia" w:ascii="仿宋" w:hAnsi="仿宋" w:eastAsia="仿宋"/>
          <w:sz w:val="28"/>
          <w:szCs w:val="28"/>
        </w:rPr>
      </w:pPr>
      <w:r>
        <w:rPr>
          <w:rFonts w:hint="eastAsia" w:ascii="仿宋" w:hAnsi="仿宋" w:eastAsia="仿宋"/>
          <w:sz w:val="28"/>
          <w:szCs w:val="28"/>
        </w:rPr>
        <w:t>2.坚持全面考</w:t>
      </w:r>
      <w:r>
        <w:rPr>
          <w:rFonts w:hint="eastAsia" w:ascii="仿宋" w:hAnsi="仿宋" w:eastAsia="仿宋"/>
          <w:sz w:val="28"/>
          <w:szCs w:val="28"/>
          <w:lang w:val="en-US" w:eastAsia="zh-CN"/>
        </w:rPr>
        <w:t>查</w:t>
      </w:r>
      <w:r>
        <w:rPr>
          <w:rFonts w:hint="eastAsia" w:ascii="仿宋" w:hAnsi="仿宋" w:eastAsia="仿宋"/>
          <w:sz w:val="28"/>
          <w:szCs w:val="28"/>
        </w:rPr>
        <w:t>原则，注重客观评价，加强对考生思想政治素质和品德考核，突出对考生专业素质、实践能力和创新精神等综合能力的考核。</w:t>
      </w:r>
    </w:p>
    <w:p w14:paraId="6B659073">
      <w:pPr>
        <w:ind w:firstLine="560" w:firstLineChars="200"/>
        <w:rPr>
          <w:rFonts w:hint="eastAsia" w:ascii="黑体" w:hAnsi="黑体" w:eastAsia="黑体" w:cs="黑体"/>
          <w:sz w:val="28"/>
          <w:szCs w:val="28"/>
        </w:rPr>
      </w:pPr>
      <w:r>
        <w:rPr>
          <w:rFonts w:hint="eastAsia" w:ascii="黑体" w:hAnsi="黑体" w:eastAsia="黑体" w:cs="黑体"/>
          <w:sz w:val="28"/>
          <w:szCs w:val="28"/>
        </w:rPr>
        <w:t>二、组织管理</w:t>
      </w:r>
    </w:p>
    <w:p w14:paraId="18E0747F">
      <w:pPr>
        <w:ind w:firstLine="562" w:firstLineChars="200"/>
        <w:rPr>
          <w:rFonts w:hint="eastAsia" w:ascii="仿宋" w:hAnsi="仿宋" w:eastAsia="仿宋"/>
          <w:b/>
          <w:bCs/>
          <w:sz w:val="28"/>
          <w:szCs w:val="28"/>
        </w:rPr>
      </w:pPr>
      <w:r>
        <w:rPr>
          <w:rFonts w:hint="eastAsia" w:ascii="仿宋" w:hAnsi="仿宋" w:eastAsia="仿宋"/>
          <w:b/>
          <w:bCs/>
          <w:sz w:val="28"/>
          <w:szCs w:val="28"/>
        </w:rPr>
        <w:t>（一）学院研究生招生工作领导小组</w:t>
      </w:r>
    </w:p>
    <w:p w14:paraId="68B04CDE">
      <w:pPr>
        <w:ind w:firstLine="560" w:firstLineChars="200"/>
        <w:rPr>
          <w:rFonts w:hint="eastAsia" w:ascii="仿宋" w:hAnsi="仿宋" w:eastAsia="仿宋"/>
          <w:sz w:val="28"/>
          <w:szCs w:val="28"/>
        </w:rPr>
      </w:pPr>
      <w:r>
        <w:rPr>
          <w:rFonts w:hint="eastAsia" w:ascii="仿宋" w:hAnsi="仿宋" w:eastAsia="仿宋"/>
          <w:sz w:val="28"/>
          <w:szCs w:val="28"/>
        </w:rPr>
        <w:t>学院研究生招生工作领导小组负责对本学院复试录取工作的领导、组织、协调和管理。</w:t>
      </w:r>
    </w:p>
    <w:p w14:paraId="0E8DD607">
      <w:pPr>
        <w:ind w:firstLine="562" w:firstLineChars="200"/>
        <w:rPr>
          <w:rFonts w:hint="eastAsia" w:ascii="仿宋" w:hAnsi="仿宋" w:eastAsia="仿宋"/>
          <w:b/>
          <w:bCs/>
          <w:sz w:val="28"/>
          <w:szCs w:val="28"/>
        </w:rPr>
      </w:pPr>
      <w:r>
        <w:rPr>
          <w:rFonts w:hint="eastAsia" w:ascii="仿宋" w:hAnsi="仿宋" w:eastAsia="仿宋"/>
          <w:b/>
          <w:bCs/>
          <w:sz w:val="28"/>
          <w:szCs w:val="28"/>
        </w:rPr>
        <w:t>（二）学院研究生招生复试小组</w:t>
      </w:r>
    </w:p>
    <w:p w14:paraId="58089770">
      <w:pPr>
        <w:ind w:firstLine="560" w:firstLineChars="200"/>
        <w:rPr>
          <w:rFonts w:hint="eastAsia" w:ascii="仿宋" w:hAnsi="仿宋" w:eastAsia="仿宋"/>
          <w:sz w:val="28"/>
          <w:szCs w:val="28"/>
        </w:rPr>
      </w:pPr>
      <w:r>
        <w:rPr>
          <w:rFonts w:hint="eastAsia" w:ascii="仿宋" w:hAnsi="仿宋" w:eastAsia="仿宋"/>
          <w:sz w:val="28"/>
          <w:szCs w:val="28"/>
        </w:rPr>
        <w:t>在学院研究生招生工作领导小组指导下具体开展复试工作。</w:t>
      </w:r>
    </w:p>
    <w:p w14:paraId="6449CA31">
      <w:pPr>
        <w:ind w:firstLine="562" w:firstLineChars="200"/>
        <w:rPr>
          <w:rFonts w:hint="eastAsia" w:ascii="仿宋" w:hAnsi="仿宋" w:eastAsia="仿宋"/>
          <w:b/>
          <w:bCs/>
          <w:sz w:val="28"/>
          <w:szCs w:val="28"/>
        </w:rPr>
      </w:pPr>
      <w:r>
        <w:rPr>
          <w:rFonts w:hint="eastAsia" w:ascii="仿宋" w:hAnsi="仿宋" w:eastAsia="仿宋"/>
          <w:b/>
          <w:bCs/>
          <w:sz w:val="28"/>
          <w:szCs w:val="28"/>
        </w:rPr>
        <w:t>（三）学院研究生招生复试督查小组</w:t>
      </w:r>
    </w:p>
    <w:p w14:paraId="3C87175A">
      <w:pPr>
        <w:ind w:firstLine="560" w:firstLineChars="200"/>
        <w:rPr>
          <w:rFonts w:hint="eastAsia" w:ascii="仿宋" w:hAnsi="仿宋" w:eastAsia="仿宋"/>
          <w:sz w:val="28"/>
          <w:szCs w:val="28"/>
        </w:rPr>
      </w:pPr>
      <w:r>
        <w:rPr>
          <w:rFonts w:hint="eastAsia" w:ascii="仿宋" w:hAnsi="仿宋" w:eastAsia="仿宋"/>
          <w:sz w:val="28"/>
          <w:szCs w:val="28"/>
        </w:rPr>
        <w:t>负责对本学院研究生复试录取工作全程监督，以及对各类申诉的调查复议等。</w:t>
      </w:r>
    </w:p>
    <w:p w14:paraId="3DD1681F">
      <w:pPr>
        <w:ind w:left="560"/>
        <w:rPr>
          <w:rFonts w:hint="eastAsia" w:ascii="黑体" w:hAnsi="黑体" w:eastAsia="黑体" w:cs="黑体"/>
          <w:sz w:val="28"/>
          <w:szCs w:val="28"/>
        </w:rPr>
      </w:pPr>
    </w:p>
    <w:p w14:paraId="0C2AE070">
      <w:pPr>
        <w:ind w:left="560"/>
        <w:rPr>
          <w:rFonts w:hint="eastAsia" w:ascii="黑体" w:hAnsi="黑体" w:eastAsia="黑体" w:cs="黑体"/>
          <w:sz w:val="28"/>
          <w:szCs w:val="28"/>
        </w:rPr>
      </w:pPr>
    </w:p>
    <w:p w14:paraId="5DC0D97C">
      <w:pPr>
        <w:ind w:left="560"/>
        <w:rPr>
          <w:rFonts w:hint="eastAsia" w:ascii="黑体" w:hAnsi="黑体" w:eastAsia="黑体" w:cs="黑体"/>
          <w:sz w:val="28"/>
          <w:szCs w:val="28"/>
        </w:rPr>
      </w:pPr>
    </w:p>
    <w:p w14:paraId="33EDB900">
      <w:pPr>
        <w:ind w:left="560"/>
        <w:rPr>
          <w:rFonts w:hint="eastAsia" w:ascii="黑体" w:hAnsi="黑体" w:eastAsia="黑体" w:cs="黑体"/>
          <w:sz w:val="28"/>
          <w:szCs w:val="28"/>
        </w:rPr>
      </w:pPr>
      <w:r>
        <w:rPr>
          <w:rFonts w:hint="eastAsia" w:ascii="黑体" w:hAnsi="黑体" w:eastAsia="黑体" w:cs="黑体"/>
          <w:sz w:val="28"/>
          <w:szCs w:val="28"/>
        </w:rPr>
        <w:t>三、招生专业</w:t>
      </w:r>
    </w:p>
    <w:tbl>
      <w:tblPr>
        <w:tblStyle w:val="17"/>
        <w:tblpPr w:leftFromText="180" w:rightFromText="180" w:vertAnchor="text" w:horzAnchor="page" w:tblpX="2358"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025"/>
        <w:gridCol w:w="1725"/>
        <w:gridCol w:w="3480"/>
      </w:tblGrid>
      <w:tr w14:paraId="6089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55" w:type="dxa"/>
            <w:vAlign w:val="center"/>
          </w:tcPr>
          <w:p w14:paraId="793EED7E">
            <w:pPr>
              <w:widowControl/>
              <w:spacing w:line="360" w:lineRule="auto"/>
              <w:jc w:val="center"/>
              <w:rPr>
                <w:rFonts w:hint="eastAsia" w:ascii="仿宋" w:hAnsi="仿宋" w:eastAsia="仿宋"/>
                <w:b/>
                <w:bCs/>
                <w:sz w:val="21"/>
                <w:szCs w:val="21"/>
                <w:lang w:eastAsia="zh-CN"/>
              </w:rPr>
            </w:pPr>
            <w:r>
              <w:rPr>
                <w:rFonts w:hint="eastAsia" w:ascii="仿宋" w:hAnsi="仿宋" w:eastAsia="仿宋"/>
                <w:b/>
                <w:bCs/>
                <w:sz w:val="21"/>
                <w:szCs w:val="21"/>
                <w:lang w:val="en-US" w:eastAsia="zh-CN"/>
              </w:rPr>
              <w:t>序号</w:t>
            </w:r>
          </w:p>
        </w:tc>
        <w:tc>
          <w:tcPr>
            <w:tcW w:w="2025" w:type="dxa"/>
            <w:vAlign w:val="center"/>
          </w:tcPr>
          <w:p w14:paraId="02F8DA98">
            <w:pPr>
              <w:widowControl/>
              <w:spacing w:line="360" w:lineRule="auto"/>
              <w:jc w:val="center"/>
              <w:rPr>
                <w:rFonts w:hint="eastAsia" w:ascii="仿宋" w:hAnsi="仿宋" w:eastAsia="仿宋"/>
                <w:b/>
                <w:bCs/>
                <w:sz w:val="21"/>
                <w:szCs w:val="21"/>
              </w:rPr>
            </w:pPr>
            <w:r>
              <w:rPr>
                <w:rFonts w:hint="eastAsia" w:ascii="仿宋" w:hAnsi="仿宋" w:eastAsia="仿宋"/>
                <w:b/>
                <w:bCs/>
                <w:sz w:val="21"/>
                <w:szCs w:val="21"/>
              </w:rPr>
              <w:t>专业类别</w:t>
            </w:r>
          </w:p>
        </w:tc>
        <w:tc>
          <w:tcPr>
            <w:tcW w:w="1725" w:type="dxa"/>
            <w:vAlign w:val="center"/>
          </w:tcPr>
          <w:p w14:paraId="5CC76202">
            <w:pPr>
              <w:widowControl/>
              <w:spacing w:line="360" w:lineRule="auto"/>
              <w:jc w:val="center"/>
              <w:rPr>
                <w:rFonts w:hint="eastAsia" w:ascii="仿宋" w:hAnsi="仿宋" w:eastAsia="仿宋"/>
                <w:b/>
                <w:bCs/>
                <w:sz w:val="21"/>
                <w:szCs w:val="21"/>
              </w:rPr>
            </w:pPr>
            <w:r>
              <w:rPr>
                <w:rFonts w:hint="eastAsia" w:ascii="仿宋" w:hAnsi="仿宋" w:eastAsia="仿宋"/>
                <w:b/>
                <w:bCs/>
                <w:sz w:val="21"/>
                <w:szCs w:val="21"/>
              </w:rPr>
              <w:t>专业领域</w:t>
            </w:r>
          </w:p>
        </w:tc>
        <w:tc>
          <w:tcPr>
            <w:tcW w:w="3480" w:type="dxa"/>
            <w:vAlign w:val="center"/>
          </w:tcPr>
          <w:p w14:paraId="64296CAB">
            <w:pPr>
              <w:widowControl/>
              <w:spacing w:line="360" w:lineRule="auto"/>
              <w:jc w:val="center"/>
              <w:rPr>
                <w:rFonts w:hint="eastAsia" w:ascii="仿宋" w:hAnsi="仿宋" w:eastAsia="仿宋"/>
                <w:b/>
                <w:bCs/>
                <w:sz w:val="21"/>
                <w:szCs w:val="21"/>
              </w:rPr>
            </w:pPr>
            <w:r>
              <w:rPr>
                <w:rFonts w:hint="eastAsia" w:ascii="仿宋" w:hAnsi="仿宋" w:eastAsia="仿宋"/>
                <w:b/>
                <w:bCs/>
                <w:sz w:val="21"/>
                <w:szCs w:val="21"/>
              </w:rPr>
              <w:t>研究方向</w:t>
            </w:r>
          </w:p>
        </w:tc>
      </w:tr>
      <w:tr w14:paraId="0D50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55" w:type="dxa"/>
            <w:vAlign w:val="center"/>
          </w:tcPr>
          <w:p w14:paraId="6D3CBBD9">
            <w:pPr>
              <w:widowControl/>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1</w:t>
            </w:r>
          </w:p>
        </w:tc>
        <w:tc>
          <w:tcPr>
            <w:tcW w:w="2025" w:type="dxa"/>
            <w:vAlign w:val="center"/>
          </w:tcPr>
          <w:p w14:paraId="216C93C1">
            <w:pPr>
              <w:widowControl/>
              <w:spacing w:line="360" w:lineRule="auto"/>
              <w:jc w:val="center"/>
              <w:rPr>
                <w:rFonts w:hint="eastAsia" w:ascii="仿宋" w:hAnsi="仿宋" w:eastAsia="仿宋"/>
                <w:sz w:val="21"/>
                <w:szCs w:val="21"/>
              </w:rPr>
            </w:pPr>
            <w:r>
              <w:rPr>
                <w:rFonts w:hint="eastAsia" w:ascii="仿宋" w:hAnsi="仿宋" w:eastAsia="仿宋"/>
                <w:sz w:val="21"/>
                <w:szCs w:val="21"/>
              </w:rPr>
              <w:t>0854</w:t>
            </w:r>
          </w:p>
          <w:p w14:paraId="71737AFD">
            <w:pPr>
              <w:widowControl/>
              <w:spacing w:line="360" w:lineRule="auto"/>
              <w:jc w:val="center"/>
              <w:rPr>
                <w:rFonts w:hint="eastAsia" w:ascii="仿宋" w:hAnsi="仿宋" w:eastAsia="仿宋"/>
                <w:sz w:val="21"/>
                <w:szCs w:val="21"/>
              </w:rPr>
            </w:pPr>
            <w:r>
              <w:rPr>
                <w:rFonts w:hint="eastAsia" w:ascii="仿宋" w:hAnsi="仿宋" w:eastAsia="仿宋"/>
                <w:sz w:val="21"/>
                <w:szCs w:val="21"/>
              </w:rPr>
              <w:t>电子信息</w:t>
            </w:r>
          </w:p>
        </w:tc>
        <w:tc>
          <w:tcPr>
            <w:tcW w:w="1725" w:type="dxa"/>
            <w:vAlign w:val="center"/>
          </w:tcPr>
          <w:p w14:paraId="7424B832">
            <w:pPr>
              <w:widowControl/>
              <w:spacing w:line="360" w:lineRule="auto"/>
              <w:jc w:val="center"/>
              <w:rPr>
                <w:rFonts w:hint="eastAsia" w:ascii="仿宋" w:hAnsi="仿宋" w:eastAsia="仿宋"/>
                <w:sz w:val="21"/>
                <w:szCs w:val="21"/>
              </w:rPr>
            </w:pPr>
            <w:r>
              <w:rPr>
                <w:rFonts w:hint="eastAsia" w:ascii="仿宋" w:hAnsi="仿宋" w:eastAsia="仿宋"/>
                <w:sz w:val="21"/>
                <w:szCs w:val="21"/>
              </w:rPr>
              <w:t>085401</w:t>
            </w:r>
          </w:p>
          <w:p w14:paraId="0CB45549">
            <w:pPr>
              <w:widowControl/>
              <w:spacing w:line="360" w:lineRule="auto"/>
              <w:jc w:val="center"/>
              <w:rPr>
                <w:rFonts w:hint="eastAsia" w:ascii="仿宋" w:hAnsi="仿宋" w:eastAsia="仿宋"/>
                <w:sz w:val="21"/>
                <w:szCs w:val="21"/>
              </w:rPr>
            </w:pPr>
            <w:r>
              <w:rPr>
                <w:rFonts w:hint="eastAsia" w:ascii="仿宋" w:hAnsi="仿宋" w:eastAsia="仿宋"/>
                <w:sz w:val="21"/>
                <w:szCs w:val="21"/>
              </w:rPr>
              <w:t>新一代电子信息技术</w:t>
            </w:r>
          </w:p>
        </w:tc>
        <w:tc>
          <w:tcPr>
            <w:tcW w:w="3480" w:type="dxa"/>
            <w:vAlign w:val="center"/>
          </w:tcPr>
          <w:p w14:paraId="1AD34F5A">
            <w:pPr>
              <w:widowControl/>
              <w:shd w:val="clear" w:color="auto" w:fill="FFFFFF"/>
              <w:spacing w:after="150" w:line="255" w:lineRule="atLeast"/>
              <w:jc w:val="both"/>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01模式识别与智能感知技术</w:t>
            </w:r>
          </w:p>
          <w:p w14:paraId="075D3D49">
            <w:pPr>
              <w:widowControl/>
              <w:shd w:val="clear" w:color="auto" w:fill="FFFFFF"/>
              <w:spacing w:after="150" w:line="255" w:lineRule="atLeast"/>
              <w:jc w:val="both"/>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02多源信息融合与分析</w:t>
            </w:r>
          </w:p>
          <w:p w14:paraId="1A53E008">
            <w:pPr>
              <w:widowControl/>
              <w:shd w:val="clear" w:color="auto" w:fill="FFFFFF"/>
              <w:spacing w:after="150" w:line="240" w:lineRule="atLeast"/>
              <w:jc w:val="both"/>
              <w:rPr>
                <w:rFonts w:hint="eastAsia" w:ascii="仿宋" w:hAnsi="仿宋" w:eastAsia="仿宋" w:cs="仿宋"/>
                <w:color w:val="FF0000"/>
                <w:sz w:val="21"/>
                <w:szCs w:val="21"/>
              </w:rPr>
            </w:pPr>
            <w:r>
              <w:rPr>
                <w:rFonts w:hint="eastAsia" w:ascii="仿宋" w:hAnsi="仿宋" w:eastAsia="仿宋" w:cs="仿宋"/>
                <w:color w:val="333333"/>
                <w:kern w:val="0"/>
                <w:sz w:val="21"/>
                <w:szCs w:val="21"/>
              </w:rPr>
              <w:t>03智能无线通信技术</w:t>
            </w:r>
          </w:p>
        </w:tc>
      </w:tr>
      <w:tr w14:paraId="066D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855" w:type="dxa"/>
            <w:vAlign w:val="center"/>
          </w:tcPr>
          <w:p w14:paraId="222E91F4">
            <w:pPr>
              <w:widowControl/>
              <w:spacing w:line="360" w:lineRule="auto"/>
              <w:jc w:val="center"/>
              <w:rPr>
                <w:rFonts w:hint="eastAsia" w:ascii="仿宋" w:hAnsi="仿宋" w:eastAsia="仿宋"/>
                <w:sz w:val="21"/>
                <w:szCs w:val="21"/>
                <w:lang w:eastAsia="zh-CN"/>
              </w:rPr>
            </w:pPr>
            <w:r>
              <w:rPr>
                <w:rFonts w:hint="eastAsia" w:ascii="仿宋" w:hAnsi="仿宋" w:eastAsia="仿宋"/>
                <w:sz w:val="21"/>
                <w:szCs w:val="21"/>
                <w:lang w:val="en-US" w:eastAsia="zh-CN"/>
              </w:rPr>
              <w:t>2</w:t>
            </w:r>
          </w:p>
        </w:tc>
        <w:tc>
          <w:tcPr>
            <w:tcW w:w="2025" w:type="dxa"/>
            <w:vAlign w:val="center"/>
          </w:tcPr>
          <w:p w14:paraId="698ECD23">
            <w:pPr>
              <w:widowControl/>
              <w:spacing w:line="360" w:lineRule="auto"/>
              <w:jc w:val="center"/>
              <w:rPr>
                <w:rFonts w:hint="eastAsia" w:ascii="仿宋" w:hAnsi="仿宋" w:eastAsia="仿宋"/>
                <w:sz w:val="21"/>
                <w:szCs w:val="21"/>
              </w:rPr>
            </w:pPr>
            <w:r>
              <w:rPr>
                <w:rFonts w:hint="eastAsia" w:ascii="仿宋" w:hAnsi="仿宋" w:eastAsia="仿宋"/>
                <w:sz w:val="21"/>
                <w:szCs w:val="21"/>
              </w:rPr>
              <w:t>0858</w:t>
            </w:r>
          </w:p>
          <w:p w14:paraId="67544AB5">
            <w:pPr>
              <w:widowControl/>
              <w:spacing w:line="360" w:lineRule="auto"/>
              <w:jc w:val="center"/>
              <w:rPr>
                <w:rFonts w:hint="eastAsia" w:ascii="仿宋" w:hAnsi="仿宋" w:eastAsia="仿宋"/>
                <w:sz w:val="21"/>
                <w:szCs w:val="21"/>
              </w:rPr>
            </w:pPr>
            <w:r>
              <w:rPr>
                <w:rFonts w:hint="eastAsia" w:ascii="仿宋" w:hAnsi="仿宋" w:eastAsia="仿宋"/>
                <w:sz w:val="21"/>
                <w:szCs w:val="21"/>
              </w:rPr>
              <w:t>能源动力</w:t>
            </w:r>
          </w:p>
        </w:tc>
        <w:tc>
          <w:tcPr>
            <w:tcW w:w="1725" w:type="dxa"/>
            <w:vAlign w:val="center"/>
          </w:tcPr>
          <w:p w14:paraId="648185DA">
            <w:pPr>
              <w:widowControl/>
              <w:spacing w:line="360" w:lineRule="auto"/>
              <w:jc w:val="center"/>
              <w:rPr>
                <w:rFonts w:hint="eastAsia" w:ascii="仿宋" w:hAnsi="仿宋" w:eastAsia="仿宋"/>
                <w:sz w:val="21"/>
                <w:szCs w:val="21"/>
              </w:rPr>
            </w:pPr>
            <w:r>
              <w:rPr>
                <w:rFonts w:hint="eastAsia" w:ascii="仿宋" w:hAnsi="仿宋" w:eastAsia="仿宋"/>
                <w:sz w:val="21"/>
                <w:szCs w:val="21"/>
              </w:rPr>
              <w:t>085801</w:t>
            </w:r>
          </w:p>
          <w:p w14:paraId="299DF3F7">
            <w:pPr>
              <w:widowControl/>
              <w:spacing w:line="360" w:lineRule="auto"/>
              <w:jc w:val="center"/>
              <w:rPr>
                <w:rFonts w:hint="eastAsia" w:ascii="仿宋" w:hAnsi="仿宋" w:eastAsia="仿宋"/>
                <w:sz w:val="21"/>
                <w:szCs w:val="21"/>
              </w:rPr>
            </w:pPr>
            <w:r>
              <w:rPr>
                <w:rFonts w:hint="eastAsia" w:ascii="仿宋" w:hAnsi="仿宋" w:eastAsia="仿宋"/>
                <w:sz w:val="21"/>
                <w:szCs w:val="21"/>
              </w:rPr>
              <w:t>电气工程</w:t>
            </w:r>
          </w:p>
        </w:tc>
        <w:tc>
          <w:tcPr>
            <w:tcW w:w="3480" w:type="dxa"/>
            <w:vAlign w:val="center"/>
          </w:tcPr>
          <w:p w14:paraId="3A0166D5">
            <w:pPr>
              <w:widowControl/>
              <w:shd w:val="clear" w:color="auto" w:fill="FFFFFF"/>
              <w:spacing w:after="150" w:line="255" w:lineRule="atLeast"/>
              <w:jc w:val="both"/>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01特种电机设计与系统运行</w:t>
            </w:r>
          </w:p>
          <w:p w14:paraId="7A702E61">
            <w:pPr>
              <w:widowControl/>
              <w:shd w:val="clear" w:color="auto" w:fill="FFFFFF"/>
              <w:spacing w:after="150" w:line="255" w:lineRule="atLeast"/>
              <w:jc w:val="both"/>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02电力电子变换与驱动控制</w:t>
            </w:r>
          </w:p>
          <w:p w14:paraId="44F9734B">
            <w:pPr>
              <w:spacing w:line="360" w:lineRule="auto"/>
              <w:jc w:val="both"/>
              <w:rPr>
                <w:rFonts w:hint="eastAsia" w:ascii="仿宋" w:hAnsi="仿宋" w:eastAsia="仿宋" w:cs="仿宋"/>
                <w:color w:val="FF0000"/>
                <w:sz w:val="21"/>
                <w:szCs w:val="21"/>
              </w:rPr>
            </w:pPr>
            <w:r>
              <w:rPr>
                <w:rFonts w:hint="eastAsia" w:ascii="仿宋" w:hAnsi="仿宋" w:eastAsia="仿宋" w:cs="仿宋"/>
                <w:color w:val="333333"/>
                <w:kern w:val="0"/>
                <w:sz w:val="21"/>
                <w:szCs w:val="21"/>
              </w:rPr>
              <w:t>03新能源发电与智能电网</w:t>
            </w:r>
          </w:p>
        </w:tc>
      </w:tr>
    </w:tbl>
    <w:p w14:paraId="2211C77C">
      <w:pPr>
        <w:ind w:firstLine="560" w:firstLineChars="200"/>
        <w:rPr>
          <w:rFonts w:hint="eastAsia" w:ascii="黑体" w:hAnsi="黑体" w:eastAsia="黑体" w:cs="黑体"/>
          <w:sz w:val="28"/>
          <w:szCs w:val="28"/>
        </w:rPr>
      </w:pPr>
    </w:p>
    <w:p w14:paraId="09F889F4">
      <w:pPr>
        <w:ind w:firstLine="560" w:firstLineChars="200"/>
        <w:rPr>
          <w:rFonts w:hint="eastAsia" w:ascii="黑体" w:hAnsi="黑体" w:eastAsia="黑体" w:cs="黑体"/>
          <w:sz w:val="28"/>
          <w:szCs w:val="28"/>
        </w:rPr>
      </w:pPr>
    </w:p>
    <w:p w14:paraId="568CC1DC">
      <w:pPr>
        <w:ind w:firstLine="560" w:firstLineChars="200"/>
        <w:rPr>
          <w:rFonts w:hint="eastAsia" w:ascii="黑体" w:hAnsi="黑体" w:eastAsia="黑体" w:cs="黑体"/>
          <w:sz w:val="28"/>
          <w:szCs w:val="28"/>
        </w:rPr>
      </w:pPr>
    </w:p>
    <w:p w14:paraId="5AD1503A">
      <w:pPr>
        <w:ind w:firstLine="560" w:firstLineChars="200"/>
        <w:rPr>
          <w:rFonts w:hint="eastAsia" w:ascii="黑体" w:hAnsi="黑体" w:eastAsia="黑体" w:cs="黑体"/>
          <w:sz w:val="28"/>
          <w:szCs w:val="28"/>
        </w:rPr>
      </w:pPr>
    </w:p>
    <w:p w14:paraId="71844FF4">
      <w:pPr>
        <w:ind w:firstLine="560" w:firstLineChars="200"/>
        <w:rPr>
          <w:rFonts w:hint="eastAsia" w:ascii="黑体" w:hAnsi="黑体" w:eastAsia="黑体" w:cs="黑体"/>
          <w:sz w:val="28"/>
          <w:szCs w:val="28"/>
        </w:rPr>
      </w:pPr>
    </w:p>
    <w:p w14:paraId="0326B253">
      <w:pPr>
        <w:ind w:firstLine="560" w:firstLineChars="200"/>
        <w:rPr>
          <w:rFonts w:hint="eastAsia" w:ascii="黑体" w:hAnsi="黑体" w:eastAsia="黑体" w:cs="黑体"/>
          <w:sz w:val="28"/>
          <w:szCs w:val="28"/>
        </w:rPr>
      </w:pPr>
    </w:p>
    <w:p w14:paraId="7FA8ADB4">
      <w:pPr>
        <w:ind w:firstLine="560" w:firstLineChars="200"/>
        <w:rPr>
          <w:rFonts w:hint="eastAsia" w:ascii="黑体" w:hAnsi="黑体" w:eastAsia="黑体" w:cs="黑体"/>
          <w:sz w:val="28"/>
          <w:szCs w:val="28"/>
        </w:rPr>
      </w:pPr>
      <w:bookmarkStart w:id="8" w:name="_GoBack"/>
      <w:bookmarkEnd w:id="8"/>
      <w:r>
        <w:rPr>
          <w:rFonts w:hint="eastAsia" w:ascii="黑体" w:hAnsi="黑体" w:eastAsia="黑体" w:cs="黑体"/>
          <w:sz w:val="28"/>
          <w:szCs w:val="28"/>
        </w:rPr>
        <w:t>四、复试工作安排</w:t>
      </w:r>
    </w:p>
    <w:p w14:paraId="76B60276">
      <w:pPr>
        <w:ind w:firstLine="562" w:firstLineChars="200"/>
        <w:rPr>
          <w:rFonts w:hint="eastAsia" w:ascii="仿宋" w:hAnsi="仿宋" w:eastAsia="仿宋"/>
          <w:b/>
          <w:bCs/>
          <w:sz w:val="28"/>
          <w:szCs w:val="28"/>
        </w:rPr>
      </w:pPr>
      <w:r>
        <w:rPr>
          <w:rFonts w:hint="eastAsia" w:ascii="仿宋" w:hAnsi="仿宋" w:eastAsia="仿宋"/>
          <w:b/>
          <w:bCs/>
          <w:sz w:val="28"/>
          <w:szCs w:val="28"/>
        </w:rPr>
        <w:t>（一）复试时间和地点</w:t>
      </w:r>
    </w:p>
    <w:p w14:paraId="7B05FF9D">
      <w:pPr>
        <w:ind w:firstLine="560" w:firstLineChars="200"/>
        <w:rPr>
          <w:rFonts w:hint="eastAsia" w:ascii="仿宋" w:hAnsi="仿宋" w:eastAsia="仿宋"/>
          <w:sz w:val="28"/>
          <w:szCs w:val="28"/>
          <w:lang w:val="en-US" w:eastAsia="zh-CN"/>
        </w:rPr>
      </w:pPr>
      <w:r>
        <w:rPr>
          <w:rFonts w:hint="eastAsia" w:ascii="仿宋" w:hAnsi="仿宋" w:eastAsia="仿宋"/>
          <w:sz w:val="28"/>
          <w:szCs w:val="28"/>
        </w:rPr>
        <w:t>复试时间：</w:t>
      </w:r>
      <w:r>
        <w:rPr>
          <w:rFonts w:hint="eastAsia" w:ascii="仿宋" w:hAnsi="仿宋" w:eastAsia="仿宋"/>
          <w:sz w:val="28"/>
          <w:szCs w:val="28"/>
          <w:lang w:val="en-US" w:eastAsia="zh-CN"/>
        </w:rPr>
        <w:t>2025年</w:t>
      </w:r>
      <w:r>
        <w:rPr>
          <w:rFonts w:ascii="仿宋" w:hAnsi="仿宋" w:eastAsia="仿宋"/>
          <w:sz w:val="28"/>
          <w:szCs w:val="28"/>
        </w:rPr>
        <w:t>3月2</w:t>
      </w:r>
      <w:r>
        <w:rPr>
          <w:rFonts w:hint="eastAsia" w:ascii="仿宋" w:hAnsi="仿宋" w:eastAsia="仿宋"/>
          <w:sz w:val="28"/>
          <w:szCs w:val="28"/>
        </w:rPr>
        <w:t>3</w:t>
      </w:r>
      <w:r>
        <w:rPr>
          <w:rFonts w:ascii="仿宋" w:hAnsi="仿宋" w:eastAsia="仿宋"/>
          <w:sz w:val="28"/>
          <w:szCs w:val="28"/>
        </w:rPr>
        <w:t>日</w:t>
      </w:r>
      <w:r>
        <w:rPr>
          <w:rFonts w:hint="eastAsia" w:ascii="仿宋" w:hAnsi="仿宋" w:eastAsia="仿宋"/>
          <w:sz w:val="28"/>
          <w:szCs w:val="28"/>
          <w:lang w:eastAsia="zh-CN"/>
        </w:rPr>
        <w:t>（</w:t>
      </w:r>
      <w:r>
        <w:rPr>
          <w:rFonts w:hint="eastAsia" w:ascii="仿宋" w:hAnsi="仿宋" w:eastAsia="仿宋"/>
          <w:sz w:val="28"/>
          <w:szCs w:val="28"/>
          <w:lang w:val="en-US" w:eastAsia="zh-CN"/>
        </w:rPr>
        <w:t>周日）。</w:t>
      </w:r>
    </w:p>
    <w:p w14:paraId="151B9180">
      <w:pPr>
        <w:ind w:firstLine="560" w:firstLineChars="200"/>
        <w:rPr>
          <w:rFonts w:hint="eastAsia" w:ascii="仿宋" w:hAnsi="仿宋" w:eastAsia="仿宋"/>
          <w:sz w:val="28"/>
          <w:szCs w:val="28"/>
          <w:lang w:eastAsia="zh-CN"/>
        </w:rPr>
      </w:pPr>
      <w:r>
        <w:rPr>
          <w:rFonts w:hint="eastAsia" w:ascii="仿宋" w:hAnsi="仿宋" w:eastAsia="仿宋"/>
          <w:sz w:val="28"/>
          <w:szCs w:val="28"/>
        </w:rPr>
        <w:t>复试地点</w:t>
      </w:r>
      <w:r>
        <w:rPr>
          <w:rFonts w:hint="eastAsia" w:ascii="仿宋" w:hAnsi="仿宋" w:eastAsia="仿宋"/>
          <w:sz w:val="28"/>
          <w:szCs w:val="28"/>
          <w:lang w:eastAsia="zh-CN"/>
        </w:rPr>
        <w:t>：</w:t>
      </w:r>
      <w:r>
        <w:rPr>
          <w:rFonts w:hint="eastAsia" w:ascii="仿宋" w:hAnsi="仿宋" w:eastAsia="仿宋"/>
          <w:sz w:val="28"/>
          <w:szCs w:val="28"/>
        </w:rPr>
        <w:t>常州工学院思勉楼（江苏省常州市新北区辽河路666号）</w:t>
      </w:r>
      <w:r>
        <w:rPr>
          <w:rFonts w:hint="eastAsia" w:ascii="仿宋" w:hAnsi="仿宋" w:eastAsia="仿宋"/>
          <w:sz w:val="28"/>
          <w:szCs w:val="28"/>
          <w:lang w:eastAsia="zh-CN"/>
        </w:rPr>
        <w:t>。</w:t>
      </w:r>
    </w:p>
    <w:p w14:paraId="015A48A9">
      <w:pPr>
        <w:ind w:firstLine="560" w:firstLineChars="200"/>
        <w:rPr>
          <w:rFonts w:hint="eastAsia" w:ascii="仿宋" w:hAnsi="仿宋" w:eastAsia="仿宋"/>
          <w:sz w:val="28"/>
          <w:szCs w:val="28"/>
          <w:lang w:val="en-US" w:eastAsia="zh-CN"/>
        </w:rPr>
      </w:pPr>
      <w:r>
        <w:rPr>
          <w:rFonts w:hint="eastAsia" w:ascii="仿宋" w:hAnsi="仿宋" w:eastAsia="仿宋"/>
          <w:sz w:val="28"/>
          <w:szCs w:val="28"/>
        </w:rPr>
        <w:t>具体时间及考场安排</w:t>
      </w:r>
      <w:r>
        <w:rPr>
          <w:rFonts w:hint="eastAsia" w:ascii="仿宋" w:hAnsi="仿宋" w:eastAsia="仿宋"/>
          <w:sz w:val="28"/>
          <w:szCs w:val="28"/>
          <w:lang w:val="en-US" w:eastAsia="zh-CN"/>
        </w:rPr>
        <w:t>如下：</w:t>
      </w:r>
    </w:p>
    <w:tbl>
      <w:tblPr>
        <w:tblStyle w:val="16"/>
        <w:tblW w:w="8058" w:type="dxa"/>
        <w:jc w:val="center"/>
        <w:tblLayout w:type="fixed"/>
        <w:tblCellMar>
          <w:top w:w="0" w:type="dxa"/>
          <w:left w:w="108" w:type="dxa"/>
          <w:bottom w:w="0" w:type="dxa"/>
          <w:right w:w="108" w:type="dxa"/>
        </w:tblCellMar>
      </w:tblPr>
      <w:tblGrid>
        <w:gridCol w:w="838"/>
        <w:gridCol w:w="2014"/>
        <w:gridCol w:w="1755"/>
        <w:gridCol w:w="3451"/>
      </w:tblGrid>
      <w:tr w14:paraId="34ED7962">
        <w:tblPrEx>
          <w:tblCellMar>
            <w:top w:w="0" w:type="dxa"/>
            <w:left w:w="108" w:type="dxa"/>
            <w:bottom w:w="0" w:type="dxa"/>
            <w:right w:w="108" w:type="dxa"/>
          </w:tblCellMar>
        </w:tblPrEx>
        <w:trPr>
          <w:trHeight w:val="929"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ABB0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014" w:type="dxa"/>
            <w:tcBorders>
              <w:top w:val="single" w:color="auto" w:sz="4" w:space="0"/>
              <w:left w:val="nil"/>
              <w:bottom w:val="single" w:color="auto" w:sz="4" w:space="0"/>
              <w:right w:val="single" w:color="auto" w:sz="4" w:space="0"/>
            </w:tcBorders>
            <w:shd w:val="clear" w:color="auto" w:fill="auto"/>
            <w:noWrap/>
            <w:vAlign w:val="center"/>
          </w:tcPr>
          <w:p w14:paraId="4D9AD59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复试项目</w:t>
            </w:r>
          </w:p>
        </w:tc>
        <w:tc>
          <w:tcPr>
            <w:tcW w:w="1755" w:type="dxa"/>
            <w:tcBorders>
              <w:top w:val="single" w:color="auto" w:sz="4" w:space="0"/>
              <w:left w:val="nil"/>
              <w:bottom w:val="single" w:color="auto" w:sz="4" w:space="0"/>
              <w:right w:val="single" w:color="auto" w:sz="4" w:space="0"/>
            </w:tcBorders>
            <w:shd w:val="clear" w:color="auto" w:fill="auto"/>
            <w:noWrap/>
            <w:vAlign w:val="center"/>
          </w:tcPr>
          <w:p w14:paraId="62638F9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时间</w:t>
            </w:r>
          </w:p>
        </w:tc>
        <w:tc>
          <w:tcPr>
            <w:tcW w:w="3451" w:type="dxa"/>
            <w:tcBorders>
              <w:top w:val="single" w:color="auto" w:sz="4" w:space="0"/>
              <w:left w:val="nil"/>
              <w:bottom w:val="nil"/>
              <w:right w:val="single" w:color="auto" w:sz="4" w:space="0"/>
            </w:tcBorders>
            <w:shd w:val="clear" w:color="auto" w:fill="auto"/>
            <w:vAlign w:val="center"/>
          </w:tcPr>
          <w:p w14:paraId="015017A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085401</w:t>
            </w:r>
          </w:p>
          <w:p w14:paraId="0E1EFE4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新一代电子信息技术</w:t>
            </w:r>
          </w:p>
        </w:tc>
      </w:tr>
      <w:tr w14:paraId="7F33159D">
        <w:tblPrEx>
          <w:tblCellMar>
            <w:top w:w="0" w:type="dxa"/>
            <w:left w:w="108" w:type="dxa"/>
            <w:bottom w:w="0" w:type="dxa"/>
            <w:right w:w="108" w:type="dxa"/>
          </w:tblCellMar>
        </w:tblPrEx>
        <w:trPr>
          <w:trHeight w:val="584" w:hRule="atLeast"/>
          <w:jc w:val="center"/>
        </w:trPr>
        <w:tc>
          <w:tcPr>
            <w:tcW w:w="838" w:type="dxa"/>
            <w:tcBorders>
              <w:top w:val="nil"/>
              <w:left w:val="single" w:color="auto" w:sz="4" w:space="0"/>
              <w:bottom w:val="single" w:color="auto" w:sz="4" w:space="0"/>
              <w:right w:val="single" w:color="auto" w:sz="4" w:space="0"/>
            </w:tcBorders>
            <w:shd w:val="clear" w:color="auto" w:fill="auto"/>
            <w:noWrap/>
            <w:vAlign w:val="center"/>
          </w:tcPr>
          <w:p w14:paraId="1FB69506">
            <w:pPr>
              <w:widowControl/>
              <w:spacing w:line="360" w:lineRule="auto"/>
              <w:jc w:val="center"/>
              <w:rPr>
                <w:rFonts w:hint="eastAsia" w:ascii="仿宋" w:hAnsi="仿宋" w:eastAsia="仿宋"/>
                <w:sz w:val="24"/>
              </w:rPr>
            </w:pPr>
            <w:r>
              <w:rPr>
                <w:rFonts w:hint="eastAsia" w:ascii="仿宋" w:hAnsi="仿宋" w:eastAsia="仿宋"/>
                <w:sz w:val="24"/>
              </w:rPr>
              <w:t>1</w:t>
            </w:r>
          </w:p>
        </w:tc>
        <w:tc>
          <w:tcPr>
            <w:tcW w:w="2014" w:type="dxa"/>
            <w:tcBorders>
              <w:top w:val="nil"/>
              <w:left w:val="nil"/>
              <w:bottom w:val="single" w:color="auto" w:sz="4" w:space="0"/>
              <w:right w:val="single" w:color="auto" w:sz="4" w:space="0"/>
            </w:tcBorders>
            <w:shd w:val="clear" w:color="auto" w:fill="auto"/>
            <w:vAlign w:val="center"/>
          </w:tcPr>
          <w:p w14:paraId="0282C245">
            <w:pPr>
              <w:widowControl/>
              <w:spacing w:line="360" w:lineRule="auto"/>
              <w:jc w:val="center"/>
              <w:rPr>
                <w:rFonts w:hint="eastAsia" w:ascii="仿宋" w:hAnsi="仿宋" w:eastAsia="仿宋"/>
                <w:sz w:val="24"/>
              </w:rPr>
            </w:pPr>
            <w:r>
              <w:rPr>
                <w:rFonts w:hint="eastAsia" w:ascii="仿宋" w:hAnsi="仿宋" w:eastAsia="仿宋"/>
                <w:sz w:val="24"/>
              </w:rPr>
              <w:t>报到及资格审查</w:t>
            </w:r>
          </w:p>
        </w:tc>
        <w:tc>
          <w:tcPr>
            <w:tcW w:w="1755" w:type="dxa"/>
            <w:tcBorders>
              <w:top w:val="nil"/>
              <w:left w:val="nil"/>
              <w:bottom w:val="single" w:color="auto" w:sz="4" w:space="0"/>
              <w:right w:val="single" w:color="auto" w:sz="4" w:space="0"/>
            </w:tcBorders>
            <w:shd w:val="clear" w:color="auto" w:fill="auto"/>
            <w:noWrap/>
            <w:vAlign w:val="center"/>
          </w:tcPr>
          <w:p w14:paraId="63F7E0DD">
            <w:pPr>
              <w:widowControl/>
              <w:spacing w:line="360" w:lineRule="auto"/>
              <w:jc w:val="center"/>
              <w:rPr>
                <w:rFonts w:hint="eastAsia" w:ascii="仿宋" w:hAnsi="仿宋" w:eastAsia="仿宋"/>
                <w:sz w:val="24"/>
              </w:rPr>
            </w:pPr>
            <w:r>
              <w:rPr>
                <w:rFonts w:hint="eastAsia" w:ascii="仿宋" w:hAnsi="仿宋" w:eastAsia="仿宋"/>
                <w:sz w:val="24"/>
              </w:rPr>
              <w:t>8:30</w:t>
            </w:r>
            <w:r>
              <w:rPr>
                <w:rFonts w:hint="eastAsia" w:ascii="仿宋" w:hAnsi="仿宋" w:eastAsia="仿宋"/>
                <w:sz w:val="24"/>
                <w:lang w:val="en-US" w:eastAsia="zh-CN"/>
              </w:rPr>
              <w:t>-</w:t>
            </w:r>
            <w:r>
              <w:rPr>
                <w:rFonts w:hint="eastAsia" w:ascii="仿宋" w:hAnsi="仿宋" w:eastAsia="仿宋"/>
                <w:sz w:val="24"/>
              </w:rPr>
              <w:t>11:00</w:t>
            </w:r>
          </w:p>
        </w:tc>
        <w:tc>
          <w:tcPr>
            <w:tcW w:w="3451" w:type="dxa"/>
            <w:tcBorders>
              <w:top w:val="single" w:color="auto" w:sz="4" w:space="0"/>
              <w:left w:val="nil"/>
              <w:bottom w:val="single" w:color="auto" w:sz="4" w:space="0"/>
              <w:right w:val="single" w:color="auto" w:sz="4" w:space="0"/>
            </w:tcBorders>
            <w:shd w:val="clear" w:color="auto" w:fill="auto"/>
            <w:noWrap/>
            <w:vAlign w:val="center"/>
          </w:tcPr>
          <w:p w14:paraId="74568DA0">
            <w:pPr>
              <w:widowControl/>
              <w:spacing w:line="360" w:lineRule="auto"/>
              <w:jc w:val="center"/>
              <w:rPr>
                <w:rFonts w:hint="eastAsia" w:ascii="仿宋" w:hAnsi="仿宋" w:eastAsia="仿宋"/>
                <w:sz w:val="24"/>
              </w:rPr>
            </w:pPr>
            <w:r>
              <w:rPr>
                <w:rFonts w:hint="eastAsia" w:ascii="仿宋" w:hAnsi="仿宋" w:eastAsia="仿宋"/>
                <w:sz w:val="24"/>
              </w:rPr>
              <w:t>思勉楼B区602室</w:t>
            </w:r>
          </w:p>
        </w:tc>
      </w:tr>
      <w:tr w14:paraId="19F70D33">
        <w:tblPrEx>
          <w:tblCellMar>
            <w:top w:w="0" w:type="dxa"/>
            <w:left w:w="108" w:type="dxa"/>
            <w:bottom w:w="0" w:type="dxa"/>
            <w:right w:w="108" w:type="dxa"/>
          </w:tblCellMar>
        </w:tblPrEx>
        <w:trPr>
          <w:trHeight w:val="584" w:hRule="atLeast"/>
          <w:jc w:val="center"/>
        </w:trPr>
        <w:tc>
          <w:tcPr>
            <w:tcW w:w="838" w:type="dxa"/>
            <w:tcBorders>
              <w:top w:val="nil"/>
              <w:left w:val="single" w:color="auto" w:sz="4" w:space="0"/>
              <w:bottom w:val="single" w:color="auto" w:sz="4" w:space="0"/>
              <w:right w:val="single" w:color="auto" w:sz="4" w:space="0"/>
            </w:tcBorders>
            <w:shd w:val="clear" w:color="auto" w:fill="auto"/>
            <w:noWrap/>
            <w:vAlign w:val="center"/>
          </w:tcPr>
          <w:p w14:paraId="357BAA2D">
            <w:pPr>
              <w:widowControl/>
              <w:spacing w:line="360" w:lineRule="auto"/>
              <w:jc w:val="center"/>
              <w:rPr>
                <w:rFonts w:hint="eastAsia" w:ascii="仿宋" w:hAnsi="仿宋" w:eastAsia="仿宋"/>
                <w:sz w:val="24"/>
              </w:rPr>
            </w:pPr>
            <w:r>
              <w:rPr>
                <w:rFonts w:hint="eastAsia" w:ascii="仿宋" w:hAnsi="仿宋" w:eastAsia="仿宋"/>
                <w:sz w:val="24"/>
              </w:rPr>
              <w:t>2</w:t>
            </w:r>
          </w:p>
        </w:tc>
        <w:tc>
          <w:tcPr>
            <w:tcW w:w="2014" w:type="dxa"/>
            <w:tcBorders>
              <w:top w:val="nil"/>
              <w:left w:val="nil"/>
              <w:bottom w:val="single" w:color="auto" w:sz="4" w:space="0"/>
              <w:right w:val="single" w:color="auto" w:sz="4" w:space="0"/>
            </w:tcBorders>
            <w:shd w:val="clear" w:color="auto" w:fill="auto"/>
            <w:noWrap/>
            <w:vAlign w:val="center"/>
          </w:tcPr>
          <w:p w14:paraId="1987B043">
            <w:pPr>
              <w:widowControl/>
              <w:spacing w:line="360" w:lineRule="auto"/>
              <w:jc w:val="center"/>
              <w:rPr>
                <w:rFonts w:hint="eastAsia" w:ascii="仿宋" w:hAnsi="仿宋" w:eastAsia="仿宋"/>
                <w:sz w:val="24"/>
              </w:rPr>
            </w:pPr>
            <w:r>
              <w:rPr>
                <w:rFonts w:hint="eastAsia" w:ascii="仿宋" w:hAnsi="仿宋" w:eastAsia="仿宋"/>
                <w:sz w:val="24"/>
              </w:rPr>
              <w:t>笔试</w:t>
            </w:r>
          </w:p>
        </w:tc>
        <w:tc>
          <w:tcPr>
            <w:tcW w:w="1755" w:type="dxa"/>
            <w:tcBorders>
              <w:top w:val="nil"/>
              <w:left w:val="nil"/>
              <w:bottom w:val="single" w:color="auto" w:sz="4" w:space="0"/>
              <w:right w:val="single" w:color="auto" w:sz="4" w:space="0"/>
            </w:tcBorders>
            <w:shd w:val="clear" w:color="auto" w:fill="auto"/>
            <w:noWrap/>
            <w:vAlign w:val="center"/>
          </w:tcPr>
          <w:p w14:paraId="31604721">
            <w:pPr>
              <w:widowControl/>
              <w:spacing w:line="360" w:lineRule="auto"/>
              <w:jc w:val="center"/>
              <w:rPr>
                <w:rFonts w:hint="eastAsia" w:ascii="仿宋" w:hAnsi="仿宋" w:eastAsia="仿宋"/>
                <w:sz w:val="24"/>
              </w:rPr>
            </w:pPr>
            <w:r>
              <w:rPr>
                <w:rFonts w:hint="eastAsia" w:ascii="仿宋" w:hAnsi="仿宋" w:eastAsia="仿宋"/>
                <w:sz w:val="24"/>
              </w:rPr>
              <w:t>13:30</w:t>
            </w:r>
            <w:r>
              <w:rPr>
                <w:rFonts w:hint="eastAsia" w:ascii="仿宋" w:hAnsi="仿宋" w:eastAsia="仿宋"/>
                <w:sz w:val="24"/>
                <w:lang w:val="en-US" w:eastAsia="zh-CN"/>
              </w:rPr>
              <w:t>-</w:t>
            </w:r>
            <w:r>
              <w:rPr>
                <w:rFonts w:hint="eastAsia" w:ascii="仿宋" w:hAnsi="仿宋" w:eastAsia="仿宋"/>
                <w:sz w:val="24"/>
              </w:rPr>
              <w:t>15:10</w:t>
            </w:r>
          </w:p>
        </w:tc>
        <w:tc>
          <w:tcPr>
            <w:tcW w:w="3451" w:type="dxa"/>
            <w:tcBorders>
              <w:top w:val="nil"/>
              <w:left w:val="nil"/>
              <w:bottom w:val="single" w:color="auto" w:sz="4" w:space="0"/>
              <w:right w:val="single" w:color="auto" w:sz="4" w:space="0"/>
            </w:tcBorders>
            <w:shd w:val="clear" w:color="auto" w:fill="auto"/>
            <w:noWrap/>
            <w:vAlign w:val="center"/>
          </w:tcPr>
          <w:p w14:paraId="765F0DEC">
            <w:pPr>
              <w:widowControl/>
              <w:spacing w:line="360" w:lineRule="auto"/>
              <w:jc w:val="center"/>
              <w:rPr>
                <w:rFonts w:hint="eastAsia" w:ascii="仿宋" w:hAnsi="仿宋" w:eastAsia="仿宋"/>
                <w:sz w:val="24"/>
              </w:rPr>
            </w:pPr>
            <w:r>
              <w:rPr>
                <w:rFonts w:hint="eastAsia" w:ascii="仿宋" w:hAnsi="仿宋" w:eastAsia="仿宋"/>
                <w:sz w:val="24"/>
              </w:rPr>
              <w:t>思勉楼B区604室</w:t>
            </w:r>
          </w:p>
        </w:tc>
      </w:tr>
      <w:tr w14:paraId="70F71777">
        <w:tblPrEx>
          <w:tblCellMar>
            <w:top w:w="0" w:type="dxa"/>
            <w:left w:w="108" w:type="dxa"/>
            <w:bottom w:w="0" w:type="dxa"/>
            <w:right w:w="108" w:type="dxa"/>
          </w:tblCellMar>
        </w:tblPrEx>
        <w:trPr>
          <w:trHeight w:val="584" w:hRule="atLeast"/>
          <w:jc w:val="center"/>
        </w:trPr>
        <w:tc>
          <w:tcPr>
            <w:tcW w:w="838" w:type="dxa"/>
            <w:tcBorders>
              <w:top w:val="nil"/>
              <w:left w:val="single" w:color="auto" w:sz="4" w:space="0"/>
              <w:bottom w:val="single" w:color="auto" w:sz="4" w:space="0"/>
              <w:right w:val="single" w:color="auto" w:sz="4" w:space="0"/>
            </w:tcBorders>
            <w:shd w:val="clear" w:color="auto" w:fill="auto"/>
            <w:noWrap/>
            <w:vAlign w:val="center"/>
          </w:tcPr>
          <w:p w14:paraId="109BFBCC">
            <w:pPr>
              <w:widowControl/>
              <w:spacing w:line="360" w:lineRule="auto"/>
              <w:jc w:val="center"/>
              <w:rPr>
                <w:rFonts w:hint="eastAsia" w:ascii="仿宋" w:hAnsi="仿宋" w:eastAsia="仿宋"/>
                <w:sz w:val="24"/>
              </w:rPr>
            </w:pPr>
            <w:r>
              <w:rPr>
                <w:rFonts w:hint="eastAsia" w:ascii="仿宋" w:hAnsi="仿宋" w:eastAsia="仿宋"/>
                <w:sz w:val="24"/>
              </w:rPr>
              <w:t>3</w:t>
            </w:r>
          </w:p>
        </w:tc>
        <w:tc>
          <w:tcPr>
            <w:tcW w:w="2014" w:type="dxa"/>
            <w:tcBorders>
              <w:top w:val="nil"/>
              <w:left w:val="nil"/>
              <w:bottom w:val="single" w:color="auto" w:sz="4" w:space="0"/>
              <w:right w:val="single" w:color="auto" w:sz="4" w:space="0"/>
            </w:tcBorders>
            <w:shd w:val="clear" w:color="auto" w:fill="auto"/>
            <w:noWrap/>
            <w:vAlign w:val="center"/>
          </w:tcPr>
          <w:p w14:paraId="79002CCF">
            <w:pPr>
              <w:widowControl/>
              <w:spacing w:line="360" w:lineRule="auto"/>
              <w:jc w:val="center"/>
              <w:rPr>
                <w:rFonts w:hint="eastAsia" w:ascii="仿宋" w:hAnsi="仿宋" w:eastAsia="仿宋"/>
                <w:sz w:val="24"/>
              </w:rPr>
            </w:pPr>
            <w:r>
              <w:rPr>
                <w:rFonts w:hint="eastAsia" w:ascii="仿宋" w:hAnsi="仿宋" w:eastAsia="仿宋"/>
                <w:sz w:val="24"/>
              </w:rPr>
              <w:t>面试等待</w:t>
            </w:r>
          </w:p>
        </w:tc>
        <w:tc>
          <w:tcPr>
            <w:tcW w:w="1755" w:type="dxa"/>
            <w:tcBorders>
              <w:top w:val="nil"/>
              <w:left w:val="nil"/>
              <w:bottom w:val="single" w:color="auto" w:sz="4" w:space="0"/>
              <w:right w:val="single" w:color="auto" w:sz="4" w:space="0"/>
            </w:tcBorders>
            <w:shd w:val="clear" w:color="auto" w:fill="auto"/>
            <w:noWrap/>
            <w:vAlign w:val="center"/>
          </w:tcPr>
          <w:p w14:paraId="0942773A">
            <w:pPr>
              <w:widowControl/>
              <w:spacing w:line="360" w:lineRule="auto"/>
              <w:jc w:val="center"/>
              <w:rPr>
                <w:rFonts w:hint="eastAsia" w:ascii="仿宋" w:hAnsi="仿宋" w:eastAsia="仿宋"/>
                <w:sz w:val="24"/>
                <w:lang w:eastAsia="zh-CN"/>
              </w:rPr>
            </w:pPr>
            <w:r>
              <w:rPr>
                <w:rFonts w:hint="eastAsia" w:ascii="仿宋" w:hAnsi="仿宋" w:eastAsia="仿宋"/>
                <w:sz w:val="24"/>
              </w:rPr>
              <w:t>15:20</w:t>
            </w:r>
            <w:r>
              <w:rPr>
                <w:rFonts w:hint="eastAsia" w:ascii="仿宋" w:hAnsi="仿宋" w:eastAsia="仿宋"/>
                <w:sz w:val="24"/>
                <w:lang w:val="en-US" w:eastAsia="zh-CN"/>
              </w:rPr>
              <w:t>-</w:t>
            </w:r>
          </w:p>
        </w:tc>
        <w:tc>
          <w:tcPr>
            <w:tcW w:w="3451" w:type="dxa"/>
            <w:tcBorders>
              <w:top w:val="nil"/>
              <w:left w:val="nil"/>
              <w:bottom w:val="single" w:color="auto" w:sz="4" w:space="0"/>
              <w:right w:val="single" w:color="auto" w:sz="4" w:space="0"/>
            </w:tcBorders>
            <w:shd w:val="clear" w:color="auto" w:fill="auto"/>
            <w:noWrap/>
            <w:vAlign w:val="center"/>
          </w:tcPr>
          <w:p w14:paraId="6A0CB6E5">
            <w:pPr>
              <w:widowControl/>
              <w:spacing w:line="360" w:lineRule="auto"/>
              <w:jc w:val="center"/>
              <w:rPr>
                <w:rFonts w:hint="eastAsia" w:ascii="仿宋" w:hAnsi="仿宋" w:eastAsia="仿宋"/>
                <w:sz w:val="24"/>
              </w:rPr>
            </w:pPr>
            <w:r>
              <w:rPr>
                <w:rFonts w:hint="eastAsia" w:ascii="仿宋" w:hAnsi="仿宋" w:eastAsia="仿宋"/>
                <w:sz w:val="24"/>
              </w:rPr>
              <w:t>思勉楼B区606室</w:t>
            </w:r>
          </w:p>
        </w:tc>
      </w:tr>
      <w:tr w14:paraId="6AAA4033">
        <w:tblPrEx>
          <w:tblCellMar>
            <w:top w:w="0" w:type="dxa"/>
            <w:left w:w="108" w:type="dxa"/>
            <w:bottom w:w="0" w:type="dxa"/>
            <w:right w:w="108" w:type="dxa"/>
          </w:tblCellMar>
        </w:tblPrEx>
        <w:trPr>
          <w:trHeight w:val="616" w:hRule="atLeast"/>
          <w:jc w:val="center"/>
        </w:trPr>
        <w:tc>
          <w:tcPr>
            <w:tcW w:w="838" w:type="dxa"/>
            <w:tcBorders>
              <w:top w:val="nil"/>
              <w:left w:val="single" w:color="auto" w:sz="4" w:space="0"/>
              <w:bottom w:val="single" w:color="auto" w:sz="4" w:space="0"/>
              <w:right w:val="single" w:color="auto" w:sz="4" w:space="0"/>
            </w:tcBorders>
            <w:shd w:val="clear" w:color="auto" w:fill="auto"/>
            <w:noWrap/>
            <w:vAlign w:val="center"/>
          </w:tcPr>
          <w:p w14:paraId="2DC3B39D">
            <w:pPr>
              <w:widowControl/>
              <w:spacing w:line="360" w:lineRule="auto"/>
              <w:jc w:val="center"/>
              <w:rPr>
                <w:rFonts w:hint="eastAsia" w:ascii="仿宋" w:hAnsi="仿宋" w:eastAsia="仿宋"/>
                <w:sz w:val="24"/>
              </w:rPr>
            </w:pPr>
            <w:r>
              <w:rPr>
                <w:rFonts w:hint="eastAsia" w:ascii="仿宋" w:hAnsi="仿宋" w:eastAsia="仿宋"/>
                <w:sz w:val="24"/>
              </w:rPr>
              <w:t>4</w:t>
            </w:r>
          </w:p>
        </w:tc>
        <w:tc>
          <w:tcPr>
            <w:tcW w:w="2014" w:type="dxa"/>
            <w:tcBorders>
              <w:top w:val="nil"/>
              <w:left w:val="nil"/>
              <w:bottom w:val="single" w:color="auto" w:sz="4" w:space="0"/>
              <w:right w:val="single" w:color="auto" w:sz="4" w:space="0"/>
            </w:tcBorders>
            <w:shd w:val="clear" w:color="auto" w:fill="auto"/>
            <w:noWrap/>
            <w:vAlign w:val="center"/>
          </w:tcPr>
          <w:p w14:paraId="60C897C2">
            <w:pPr>
              <w:widowControl/>
              <w:spacing w:line="360" w:lineRule="auto"/>
              <w:jc w:val="center"/>
              <w:rPr>
                <w:rFonts w:hint="eastAsia" w:ascii="仿宋" w:hAnsi="仿宋" w:eastAsia="仿宋"/>
                <w:sz w:val="24"/>
              </w:rPr>
            </w:pPr>
            <w:r>
              <w:rPr>
                <w:rFonts w:hint="eastAsia" w:ascii="仿宋" w:hAnsi="仿宋" w:eastAsia="仿宋"/>
                <w:sz w:val="24"/>
              </w:rPr>
              <w:t>综合素质面试</w:t>
            </w:r>
          </w:p>
        </w:tc>
        <w:tc>
          <w:tcPr>
            <w:tcW w:w="1755" w:type="dxa"/>
            <w:tcBorders>
              <w:top w:val="nil"/>
              <w:left w:val="nil"/>
              <w:bottom w:val="single" w:color="auto" w:sz="4" w:space="0"/>
              <w:right w:val="single" w:color="auto" w:sz="4" w:space="0"/>
            </w:tcBorders>
            <w:shd w:val="clear" w:color="auto" w:fill="auto"/>
            <w:noWrap/>
            <w:vAlign w:val="center"/>
          </w:tcPr>
          <w:p w14:paraId="4151186A">
            <w:pPr>
              <w:widowControl/>
              <w:spacing w:line="360" w:lineRule="auto"/>
              <w:jc w:val="center"/>
              <w:rPr>
                <w:rFonts w:hint="eastAsia" w:ascii="仿宋" w:hAnsi="仿宋" w:eastAsia="仿宋"/>
                <w:sz w:val="24"/>
              </w:rPr>
            </w:pPr>
            <w:r>
              <w:rPr>
                <w:rFonts w:hint="eastAsia" w:ascii="仿宋" w:hAnsi="仿宋" w:eastAsia="仿宋"/>
                <w:sz w:val="24"/>
              </w:rPr>
              <w:t>15:30</w:t>
            </w:r>
            <w:r>
              <w:rPr>
                <w:rFonts w:hint="eastAsia" w:ascii="仿宋" w:hAnsi="仿宋" w:eastAsia="仿宋"/>
                <w:sz w:val="24"/>
                <w:lang w:val="en-US" w:eastAsia="zh-CN"/>
              </w:rPr>
              <w:t>-</w:t>
            </w:r>
            <w:r>
              <w:rPr>
                <w:rFonts w:hint="eastAsia" w:ascii="仿宋" w:hAnsi="仿宋" w:eastAsia="仿宋"/>
                <w:sz w:val="24"/>
              </w:rPr>
              <w:t>17:00</w:t>
            </w:r>
          </w:p>
        </w:tc>
        <w:tc>
          <w:tcPr>
            <w:tcW w:w="3451" w:type="dxa"/>
            <w:tcBorders>
              <w:top w:val="nil"/>
              <w:left w:val="nil"/>
              <w:bottom w:val="single" w:color="auto" w:sz="4" w:space="0"/>
              <w:right w:val="single" w:color="auto" w:sz="4" w:space="0"/>
            </w:tcBorders>
            <w:shd w:val="clear" w:color="auto" w:fill="auto"/>
            <w:noWrap/>
            <w:vAlign w:val="center"/>
          </w:tcPr>
          <w:p w14:paraId="51F7561B">
            <w:pPr>
              <w:widowControl/>
              <w:spacing w:line="360" w:lineRule="auto"/>
              <w:jc w:val="center"/>
              <w:rPr>
                <w:rFonts w:hint="eastAsia" w:ascii="仿宋" w:hAnsi="仿宋" w:eastAsia="仿宋"/>
                <w:sz w:val="24"/>
              </w:rPr>
            </w:pPr>
            <w:r>
              <w:rPr>
                <w:rFonts w:hint="eastAsia" w:ascii="仿宋" w:hAnsi="仿宋" w:eastAsia="仿宋"/>
                <w:sz w:val="24"/>
              </w:rPr>
              <w:t>思勉楼B区610室</w:t>
            </w:r>
          </w:p>
        </w:tc>
      </w:tr>
    </w:tbl>
    <w:p w14:paraId="037AAE7A">
      <w:pPr>
        <w:ind w:firstLine="562" w:firstLineChars="200"/>
        <w:rPr>
          <w:rFonts w:hint="eastAsia" w:ascii="仿宋" w:hAnsi="仿宋" w:eastAsia="仿宋"/>
          <w:b/>
          <w:bCs/>
          <w:sz w:val="28"/>
          <w:szCs w:val="28"/>
        </w:rPr>
      </w:pPr>
      <w:bookmarkStart w:id="4" w:name="OLE_LINK9"/>
      <w:bookmarkStart w:id="5" w:name="OLE_LINK10"/>
      <w:r>
        <w:rPr>
          <w:rFonts w:hint="eastAsia" w:ascii="仿宋" w:hAnsi="仿宋" w:eastAsia="仿宋"/>
          <w:b/>
          <w:bCs/>
          <w:sz w:val="28"/>
          <w:szCs w:val="28"/>
        </w:rPr>
        <w:t>（</w:t>
      </w:r>
      <w:r>
        <w:rPr>
          <w:rFonts w:hint="eastAsia" w:ascii="仿宋" w:hAnsi="仿宋" w:eastAsia="仿宋"/>
          <w:b/>
          <w:bCs/>
          <w:sz w:val="28"/>
          <w:szCs w:val="28"/>
          <w:lang w:val="en-US" w:eastAsia="zh-CN"/>
        </w:rPr>
        <w:t>二</w:t>
      </w:r>
      <w:r>
        <w:rPr>
          <w:rFonts w:hint="eastAsia" w:ascii="仿宋" w:hAnsi="仿宋" w:eastAsia="仿宋"/>
          <w:b/>
          <w:bCs/>
          <w:sz w:val="28"/>
          <w:szCs w:val="28"/>
        </w:rPr>
        <w:t>）复试形式和内容</w:t>
      </w:r>
    </w:p>
    <w:bookmarkEnd w:id="4"/>
    <w:bookmarkEnd w:id="5"/>
    <w:p w14:paraId="5CF759F0">
      <w:pPr>
        <w:ind w:firstLine="560" w:firstLineChars="200"/>
        <w:rPr>
          <w:rFonts w:hint="eastAsia" w:ascii="仿宋" w:hAnsi="仿宋" w:eastAsia="仿宋"/>
          <w:sz w:val="28"/>
          <w:szCs w:val="28"/>
        </w:rPr>
      </w:pPr>
      <w:bookmarkStart w:id="6" w:name="OLE_LINK7"/>
      <w:bookmarkStart w:id="7" w:name="OLE_LINK8"/>
      <w:r>
        <w:rPr>
          <w:rFonts w:hint="eastAsia" w:ascii="仿宋" w:hAnsi="仿宋" w:eastAsia="仿宋"/>
          <w:sz w:val="28"/>
          <w:szCs w:val="28"/>
        </w:rPr>
        <w:t>复试</w:t>
      </w:r>
      <w:r>
        <w:rPr>
          <w:rFonts w:hint="eastAsia" w:ascii="仿宋" w:hAnsi="仿宋" w:eastAsia="仿宋"/>
          <w:sz w:val="28"/>
          <w:szCs w:val="28"/>
          <w:lang w:val="en-US" w:eastAsia="zh-CN"/>
        </w:rPr>
        <w:t>形式</w:t>
      </w:r>
      <w:r>
        <w:rPr>
          <w:rFonts w:hint="eastAsia" w:ascii="仿宋" w:hAnsi="仿宋" w:eastAsia="仿宋"/>
          <w:sz w:val="28"/>
          <w:szCs w:val="28"/>
        </w:rPr>
        <w:t>为现场复试，复试内容包括专业科目</w:t>
      </w:r>
      <w:r>
        <w:rPr>
          <w:rFonts w:hint="eastAsia" w:ascii="仿宋" w:hAnsi="仿宋" w:eastAsia="仿宋"/>
          <w:sz w:val="28"/>
          <w:szCs w:val="28"/>
          <w:lang w:val="en-US" w:eastAsia="zh-CN"/>
        </w:rPr>
        <w:t>考试</w:t>
      </w:r>
      <w:r>
        <w:rPr>
          <w:rFonts w:hint="eastAsia" w:ascii="仿宋" w:hAnsi="仿宋" w:eastAsia="仿宋"/>
          <w:sz w:val="28"/>
          <w:szCs w:val="28"/>
        </w:rPr>
        <w:t>和综合素质面试两部分，复试总成绩满分为200分。</w:t>
      </w:r>
    </w:p>
    <w:p w14:paraId="3816EC18">
      <w:pPr>
        <w:numPr>
          <w:ilvl w:val="0"/>
          <w:numId w:val="0"/>
        </w:numPr>
        <w:ind w:firstLine="562" w:firstLineChars="200"/>
        <w:rPr>
          <w:rFonts w:hint="eastAsia" w:ascii="仿宋" w:hAnsi="仿宋" w:eastAsia="仿宋"/>
          <w:sz w:val="28"/>
          <w:szCs w:val="28"/>
          <w:lang w:val="en-US" w:eastAsia="zh-CN"/>
        </w:rPr>
      </w:pPr>
      <w:r>
        <w:rPr>
          <w:rFonts w:hint="eastAsia" w:ascii="仿宋" w:hAnsi="仿宋" w:eastAsia="仿宋"/>
          <w:b/>
          <w:bCs/>
          <w:sz w:val="28"/>
          <w:szCs w:val="28"/>
          <w:lang w:val="en-US" w:eastAsia="zh-CN"/>
        </w:rPr>
        <w:t>1.专业</w:t>
      </w:r>
      <w:r>
        <w:rPr>
          <w:rFonts w:hint="eastAsia" w:ascii="仿宋" w:hAnsi="仿宋" w:eastAsia="仿宋"/>
          <w:b/>
          <w:bCs/>
          <w:sz w:val="28"/>
          <w:szCs w:val="28"/>
        </w:rPr>
        <w:t>科目</w:t>
      </w:r>
      <w:r>
        <w:rPr>
          <w:rFonts w:hint="eastAsia" w:ascii="仿宋" w:hAnsi="仿宋" w:eastAsia="仿宋"/>
          <w:b/>
          <w:bCs/>
          <w:sz w:val="28"/>
          <w:szCs w:val="28"/>
          <w:lang w:val="en-US" w:eastAsia="zh-CN"/>
        </w:rPr>
        <w:t>考试</w:t>
      </w:r>
      <w:r>
        <w:rPr>
          <w:rFonts w:hint="eastAsia" w:ascii="仿宋" w:hAnsi="仿宋" w:eastAsia="仿宋"/>
          <w:b/>
          <w:bCs/>
          <w:sz w:val="28"/>
          <w:szCs w:val="28"/>
        </w:rPr>
        <w:t>：</w:t>
      </w:r>
      <w:r>
        <w:rPr>
          <w:rFonts w:hint="eastAsia" w:ascii="仿宋" w:hAnsi="仿宋" w:eastAsia="仿宋"/>
          <w:sz w:val="28"/>
          <w:szCs w:val="28"/>
        </w:rPr>
        <w:t>满分100分，重点考查考生的专业素养。</w:t>
      </w:r>
      <w:r>
        <w:rPr>
          <w:rFonts w:hint="eastAsia" w:ascii="仿宋" w:hAnsi="仿宋" w:eastAsia="仿宋"/>
          <w:sz w:val="28"/>
          <w:szCs w:val="28"/>
          <w:lang w:val="en-US" w:eastAsia="zh-CN"/>
        </w:rPr>
        <w:t>科目考试</w:t>
      </w:r>
      <w:r>
        <w:rPr>
          <w:rFonts w:hint="eastAsia" w:ascii="仿宋" w:hAnsi="仿宋" w:eastAsia="仿宋"/>
          <w:sz w:val="28"/>
          <w:szCs w:val="28"/>
        </w:rPr>
        <w:t>采用闭卷，时间为90分钟。</w:t>
      </w:r>
      <w:r>
        <w:rPr>
          <w:rFonts w:hint="eastAsia" w:ascii="仿宋" w:hAnsi="仿宋" w:eastAsia="仿宋"/>
          <w:sz w:val="28"/>
          <w:szCs w:val="28"/>
          <w:lang w:val="en-US" w:eastAsia="zh-CN"/>
        </w:rPr>
        <w:t>复试</w:t>
      </w:r>
      <w:r>
        <w:rPr>
          <w:rFonts w:hint="eastAsia" w:ascii="仿宋" w:hAnsi="仿宋" w:eastAsia="仿宋"/>
          <w:sz w:val="28"/>
          <w:szCs w:val="28"/>
        </w:rPr>
        <w:t>科目及参考书目</w:t>
      </w:r>
      <w:r>
        <w:rPr>
          <w:rFonts w:hint="eastAsia" w:ascii="仿宋" w:hAnsi="仿宋" w:eastAsia="仿宋"/>
          <w:sz w:val="28"/>
          <w:szCs w:val="28"/>
          <w:lang w:val="en-US" w:eastAsia="zh-CN"/>
        </w:rPr>
        <w:t>为：</w:t>
      </w:r>
    </w:p>
    <w:tbl>
      <w:tblPr>
        <w:tblStyle w:val="16"/>
        <w:tblpPr w:leftFromText="180" w:rightFromText="180" w:vertAnchor="text" w:horzAnchor="page" w:tblpX="2035" w:tblpY="242"/>
        <w:tblOverlap w:val="never"/>
        <w:tblW w:w="8025" w:type="dxa"/>
        <w:tblInd w:w="0" w:type="dxa"/>
        <w:tblLayout w:type="autofit"/>
        <w:tblCellMar>
          <w:top w:w="0" w:type="dxa"/>
          <w:left w:w="108" w:type="dxa"/>
          <w:bottom w:w="0" w:type="dxa"/>
          <w:right w:w="108" w:type="dxa"/>
        </w:tblCellMar>
      </w:tblPr>
      <w:tblGrid>
        <w:gridCol w:w="555"/>
        <w:gridCol w:w="1200"/>
        <w:gridCol w:w="1230"/>
        <w:gridCol w:w="1614"/>
        <w:gridCol w:w="1266"/>
        <w:gridCol w:w="2160"/>
      </w:tblGrid>
      <w:tr w14:paraId="2A2EEBA8">
        <w:tblPrEx>
          <w:tblCellMar>
            <w:top w:w="0" w:type="dxa"/>
            <w:left w:w="108" w:type="dxa"/>
            <w:bottom w:w="0" w:type="dxa"/>
            <w:right w:w="108" w:type="dxa"/>
          </w:tblCellMar>
        </w:tblPrEx>
        <w:trPr>
          <w:trHeight w:val="605"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7B11214B">
            <w:pPr>
              <w:widowControl/>
              <w:jc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val="en-US" w:eastAsia="zh-CN"/>
              </w:rPr>
              <w:t>序号</w:t>
            </w:r>
          </w:p>
        </w:tc>
        <w:tc>
          <w:tcPr>
            <w:tcW w:w="1200" w:type="dxa"/>
            <w:tcBorders>
              <w:top w:val="single" w:color="auto" w:sz="4" w:space="0"/>
              <w:left w:val="nil"/>
              <w:bottom w:val="single" w:color="auto" w:sz="4" w:space="0"/>
              <w:right w:val="single" w:color="auto" w:sz="4" w:space="0"/>
            </w:tcBorders>
            <w:shd w:val="clear" w:color="auto" w:fill="auto"/>
            <w:vAlign w:val="center"/>
          </w:tcPr>
          <w:p w14:paraId="3DA4951F">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专业类别</w:t>
            </w:r>
          </w:p>
        </w:tc>
        <w:tc>
          <w:tcPr>
            <w:tcW w:w="1230" w:type="dxa"/>
            <w:tcBorders>
              <w:top w:val="single" w:color="auto" w:sz="4" w:space="0"/>
              <w:left w:val="nil"/>
              <w:bottom w:val="single" w:color="auto" w:sz="4" w:space="0"/>
              <w:right w:val="single" w:color="auto" w:sz="4" w:space="0"/>
            </w:tcBorders>
            <w:shd w:val="clear" w:color="auto" w:fill="auto"/>
            <w:vAlign w:val="center"/>
          </w:tcPr>
          <w:p w14:paraId="19FF74FE">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专业领域</w:t>
            </w:r>
          </w:p>
        </w:tc>
        <w:tc>
          <w:tcPr>
            <w:tcW w:w="1614" w:type="dxa"/>
            <w:tcBorders>
              <w:top w:val="single" w:color="auto" w:sz="4" w:space="0"/>
              <w:left w:val="nil"/>
              <w:bottom w:val="single" w:color="auto" w:sz="4" w:space="0"/>
              <w:right w:val="single" w:color="auto" w:sz="4" w:space="0"/>
            </w:tcBorders>
            <w:shd w:val="clear" w:color="auto" w:fill="auto"/>
            <w:vAlign w:val="center"/>
          </w:tcPr>
          <w:p w14:paraId="3D855FF2">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研究方向</w:t>
            </w:r>
          </w:p>
        </w:tc>
        <w:tc>
          <w:tcPr>
            <w:tcW w:w="1266" w:type="dxa"/>
            <w:tcBorders>
              <w:top w:val="single" w:color="auto" w:sz="4" w:space="0"/>
              <w:left w:val="nil"/>
              <w:bottom w:val="single" w:color="auto" w:sz="4" w:space="0"/>
              <w:right w:val="single" w:color="auto" w:sz="4" w:space="0"/>
            </w:tcBorders>
            <w:shd w:val="clear" w:color="auto" w:fill="auto"/>
            <w:vAlign w:val="center"/>
          </w:tcPr>
          <w:p w14:paraId="74A400EB">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复试科目名称</w:t>
            </w:r>
          </w:p>
        </w:tc>
        <w:tc>
          <w:tcPr>
            <w:tcW w:w="2160" w:type="dxa"/>
            <w:tcBorders>
              <w:top w:val="single" w:color="auto" w:sz="4" w:space="0"/>
              <w:left w:val="nil"/>
              <w:bottom w:val="single" w:color="auto" w:sz="4" w:space="0"/>
              <w:right w:val="single" w:color="auto" w:sz="4" w:space="0"/>
            </w:tcBorders>
            <w:shd w:val="clear" w:color="auto" w:fill="auto"/>
            <w:vAlign w:val="center"/>
          </w:tcPr>
          <w:p w14:paraId="51FECC90">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参考书目</w:t>
            </w:r>
          </w:p>
        </w:tc>
      </w:tr>
      <w:tr w14:paraId="74ACD387">
        <w:tblPrEx>
          <w:tblCellMar>
            <w:top w:w="0" w:type="dxa"/>
            <w:left w:w="108" w:type="dxa"/>
            <w:bottom w:w="0" w:type="dxa"/>
            <w:right w:w="108" w:type="dxa"/>
          </w:tblCellMar>
        </w:tblPrEx>
        <w:trPr>
          <w:trHeight w:val="605" w:hRule="atLeast"/>
        </w:trPr>
        <w:tc>
          <w:tcPr>
            <w:tcW w:w="555" w:type="dxa"/>
            <w:vMerge w:val="restart"/>
            <w:tcBorders>
              <w:top w:val="nil"/>
              <w:left w:val="single" w:color="auto" w:sz="4" w:space="0"/>
              <w:right w:val="single" w:color="auto" w:sz="4" w:space="0"/>
            </w:tcBorders>
            <w:shd w:val="clear" w:color="auto" w:fill="auto"/>
            <w:vAlign w:val="center"/>
          </w:tcPr>
          <w:p w14:paraId="7C82C4E6">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14:paraId="4844946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0854</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电子信息</w:t>
            </w:r>
          </w:p>
        </w:tc>
        <w:tc>
          <w:tcPr>
            <w:tcW w:w="1230" w:type="dxa"/>
            <w:vMerge w:val="restart"/>
            <w:tcBorders>
              <w:top w:val="nil"/>
              <w:left w:val="single" w:color="auto" w:sz="4" w:space="0"/>
              <w:bottom w:val="single" w:color="auto" w:sz="4" w:space="0"/>
              <w:right w:val="single" w:color="auto" w:sz="4" w:space="0"/>
            </w:tcBorders>
            <w:shd w:val="clear" w:color="auto" w:fill="auto"/>
            <w:vAlign w:val="center"/>
          </w:tcPr>
          <w:p w14:paraId="0375F9D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085401</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新一代电子信息技术</w:t>
            </w:r>
          </w:p>
        </w:tc>
        <w:tc>
          <w:tcPr>
            <w:tcW w:w="1614" w:type="dxa"/>
            <w:tcBorders>
              <w:top w:val="nil"/>
              <w:left w:val="nil"/>
              <w:bottom w:val="single" w:color="auto" w:sz="4" w:space="0"/>
              <w:right w:val="single" w:color="auto" w:sz="4" w:space="0"/>
            </w:tcBorders>
            <w:shd w:val="clear" w:color="auto" w:fill="auto"/>
            <w:vAlign w:val="center"/>
          </w:tcPr>
          <w:p w14:paraId="4CE8B39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01模式识别与智能感知技术</w:t>
            </w:r>
          </w:p>
        </w:tc>
        <w:tc>
          <w:tcPr>
            <w:tcW w:w="1266" w:type="dxa"/>
            <w:vMerge w:val="restart"/>
            <w:tcBorders>
              <w:top w:val="nil"/>
              <w:left w:val="single" w:color="auto" w:sz="4" w:space="0"/>
              <w:bottom w:val="single" w:color="auto" w:sz="4" w:space="0"/>
              <w:right w:val="single" w:color="auto" w:sz="4" w:space="0"/>
            </w:tcBorders>
            <w:shd w:val="clear" w:color="auto" w:fill="auto"/>
            <w:vAlign w:val="center"/>
          </w:tcPr>
          <w:p w14:paraId="6248024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数字电子技术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、单片机原理与应用</w:t>
            </w:r>
          </w:p>
        </w:tc>
        <w:tc>
          <w:tcPr>
            <w:tcW w:w="2160" w:type="dxa"/>
            <w:vMerge w:val="restart"/>
            <w:tcBorders>
              <w:top w:val="nil"/>
              <w:left w:val="single" w:color="auto" w:sz="4" w:space="0"/>
              <w:bottom w:val="single" w:color="000000" w:sz="4" w:space="0"/>
              <w:right w:val="single" w:color="auto" w:sz="4" w:space="0"/>
            </w:tcBorders>
            <w:shd w:val="clear" w:color="auto" w:fill="auto"/>
            <w:vAlign w:val="center"/>
          </w:tcPr>
          <w:p w14:paraId="6A66EFA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《数字电子技术基础》（第六版），阎石主编，高等教育出版社，2016.4；《单片机原理及接口技术》，范力旻、蔡纪鹤主编，机械工业出版社，2018.11</w:t>
            </w:r>
          </w:p>
        </w:tc>
      </w:tr>
      <w:tr w14:paraId="4B459A71">
        <w:tblPrEx>
          <w:tblCellMar>
            <w:top w:w="0" w:type="dxa"/>
            <w:left w:w="108" w:type="dxa"/>
            <w:bottom w:w="0" w:type="dxa"/>
            <w:right w:w="108" w:type="dxa"/>
          </w:tblCellMar>
        </w:tblPrEx>
        <w:trPr>
          <w:trHeight w:val="605" w:hRule="atLeast"/>
        </w:trPr>
        <w:tc>
          <w:tcPr>
            <w:tcW w:w="555" w:type="dxa"/>
            <w:vMerge w:val="continue"/>
            <w:tcBorders>
              <w:left w:val="single" w:color="auto" w:sz="4" w:space="0"/>
              <w:right w:val="single" w:color="auto" w:sz="4" w:space="0"/>
            </w:tcBorders>
            <w:vAlign w:val="center"/>
          </w:tcPr>
          <w:p w14:paraId="4BFA8228">
            <w:pPr>
              <w:widowControl/>
              <w:jc w:val="left"/>
              <w:rPr>
                <w:rFonts w:hint="eastAsia" w:ascii="仿宋" w:hAnsi="仿宋" w:eastAsia="仿宋" w:cs="仿宋"/>
                <w:color w:val="000000"/>
                <w:kern w:val="0"/>
                <w:sz w:val="21"/>
                <w:szCs w:val="21"/>
              </w:rPr>
            </w:pPr>
          </w:p>
        </w:tc>
        <w:tc>
          <w:tcPr>
            <w:tcW w:w="1200" w:type="dxa"/>
            <w:vMerge w:val="continue"/>
            <w:tcBorders>
              <w:top w:val="nil"/>
              <w:left w:val="single" w:color="auto" w:sz="4" w:space="0"/>
              <w:bottom w:val="single" w:color="auto" w:sz="4" w:space="0"/>
              <w:right w:val="single" w:color="auto" w:sz="4" w:space="0"/>
            </w:tcBorders>
            <w:vAlign w:val="center"/>
          </w:tcPr>
          <w:p w14:paraId="31A4B1D4">
            <w:pPr>
              <w:widowControl/>
              <w:jc w:val="left"/>
              <w:rPr>
                <w:rFonts w:hint="eastAsia" w:ascii="仿宋" w:hAnsi="仿宋" w:eastAsia="仿宋" w:cs="仿宋"/>
                <w:color w:val="000000"/>
                <w:kern w:val="0"/>
                <w:sz w:val="21"/>
                <w:szCs w:val="21"/>
              </w:rPr>
            </w:pPr>
          </w:p>
        </w:tc>
        <w:tc>
          <w:tcPr>
            <w:tcW w:w="1230" w:type="dxa"/>
            <w:vMerge w:val="continue"/>
            <w:tcBorders>
              <w:top w:val="nil"/>
              <w:left w:val="single" w:color="auto" w:sz="4" w:space="0"/>
              <w:bottom w:val="single" w:color="auto" w:sz="4" w:space="0"/>
              <w:right w:val="single" w:color="auto" w:sz="4" w:space="0"/>
            </w:tcBorders>
            <w:vAlign w:val="center"/>
          </w:tcPr>
          <w:p w14:paraId="28721FAC">
            <w:pPr>
              <w:widowControl/>
              <w:jc w:val="left"/>
              <w:rPr>
                <w:rFonts w:hint="eastAsia" w:ascii="仿宋" w:hAnsi="仿宋" w:eastAsia="仿宋" w:cs="仿宋"/>
                <w:color w:val="000000"/>
                <w:kern w:val="0"/>
                <w:sz w:val="21"/>
                <w:szCs w:val="21"/>
              </w:rPr>
            </w:pPr>
          </w:p>
        </w:tc>
        <w:tc>
          <w:tcPr>
            <w:tcW w:w="1614" w:type="dxa"/>
            <w:tcBorders>
              <w:top w:val="nil"/>
              <w:left w:val="nil"/>
              <w:bottom w:val="single" w:color="auto" w:sz="4" w:space="0"/>
              <w:right w:val="single" w:color="auto" w:sz="4" w:space="0"/>
            </w:tcBorders>
            <w:shd w:val="clear" w:color="auto" w:fill="auto"/>
            <w:vAlign w:val="center"/>
          </w:tcPr>
          <w:p w14:paraId="066349F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02多源信息融合与分析</w:t>
            </w:r>
          </w:p>
        </w:tc>
        <w:tc>
          <w:tcPr>
            <w:tcW w:w="1266" w:type="dxa"/>
            <w:vMerge w:val="continue"/>
            <w:tcBorders>
              <w:top w:val="nil"/>
              <w:left w:val="single" w:color="auto" w:sz="4" w:space="0"/>
              <w:bottom w:val="single" w:color="auto" w:sz="4" w:space="0"/>
              <w:right w:val="single" w:color="auto" w:sz="4" w:space="0"/>
            </w:tcBorders>
            <w:vAlign w:val="center"/>
          </w:tcPr>
          <w:p w14:paraId="7704A655">
            <w:pPr>
              <w:widowControl/>
              <w:jc w:val="left"/>
              <w:rPr>
                <w:rFonts w:hint="eastAsia" w:ascii="仿宋" w:hAnsi="仿宋" w:eastAsia="仿宋" w:cs="仿宋"/>
                <w:color w:val="000000"/>
                <w:kern w:val="0"/>
                <w:sz w:val="21"/>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12C3C845">
            <w:pPr>
              <w:widowControl/>
              <w:jc w:val="left"/>
              <w:rPr>
                <w:rFonts w:hint="eastAsia" w:ascii="仿宋" w:hAnsi="仿宋" w:eastAsia="仿宋" w:cs="仿宋"/>
                <w:color w:val="000000"/>
                <w:kern w:val="0"/>
                <w:sz w:val="21"/>
                <w:szCs w:val="21"/>
              </w:rPr>
            </w:pPr>
          </w:p>
        </w:tc>
      </w:tr>
      <w:tr w14:paraId="247E9226">
        <w:tblPrEx>
          <w:tblCellMar>
            <w:top w:w="0" w:type="dxa"/>
            <w:left w:w="108" w:type="dxa"/>
            <w:bottom w:w="0" w:type="dxa"/>
            <w:right w:w="108" w:type="dxa"/>
          </w:tblCellMar>
        </w:tblPrEx>
        <w:trPr>
          <w:trHeight w:val="605" w:hRule="atLeast"/>
        </w:trPr>
        <w:tc>
          <w:tcPr>
            <w:tcW w:w="555" w:type="dxa"/>
            <w:vMerge w:val="continue"/>
            <w:tcBorders>
              <w:left w:val="single" w:color="auto" w:sz="4" w:space="0"/>
              <w:bottom w:val="single" w:color="auto" w:sz="4" w:space="0"/>
              <w:right w:val="single" w:color="auto" w:sz="4" w:space="0"/>
            </w:tcBorders>
            <w:vAlign w:val="center"/>
          </w:tcPr>
          <w:p w14:paraId="26DA1FD4">
            <w:pPr>
              <w:widowControl/>
              <w:jc w:val="left"/>
              <w:rPr>
                <w:rFonts w:hint="eastAsia" w:ascii="仿宋" w:hAnsi="仿宋" w:eastAsia="仿宋" w:cs="仿宋"/>
                <w:color w:val="000000"/>
                <w:kern w:val="0"/>
                <w:sz w:val="21"/>
                <w:szCs w:val="21"/>
              </w:rPr>
            </w:pPr>
          </w:p>
        </w:tc>
        <w:tc>
          <w:tcPr>
            <w:tcW w:w="1200" w:type="dxa"/>
            <w:vMerge w:val="continue"/>
            <w:tcBorders>
              <w:top w:val="nil"/>
              <w:left w:val="single" w:color="auto" w:sz="4" w:space="0"/>
              <w:bottom w:val="single" w:color="auto" w:sz="4" w:space="0"/>
              <w:right w:val="single" w:color="auto" w:sz="4" w:space="0"/>
            </w:tcBorders>
            <w:vAlign w:val="center"/>
          </w:tcPr>
          <w:p w14:paraId="3697C537">
            <w:pPr>
              <w:widowControl/>
              <w:jc w:val="left"/>
              <w:rPr>
                <w:rFonts w:hint="eastAsia" w:ascii="仿宋" w:hAnsi="仿宋" w:eastAsia="仿宋" w:cs="仿宋"/>
                <w:color w:val="000000"/>
                <w:kern w:val="0"/>
                <w:sz w:val="21"/>
                <w:szCs w:val="21"/>
              </w:rPr>
            </w:pPr>
          </w:p>
        </w:tc>
        <w:tc>
          <w:tcPr>
            <w:tcW w:w="1230" w:type="dxa"/>
            <w:vMerge w:val="continue"/>
            <w:tcBorders>
              <w:top w:val="nil"/>
              <w:left w:val="single" w:color="auto" w:sz="4" w:space="0"/>
              <w:bottom w:val="single" w:color="auto" w:sz="4" w:space="0"/>
              <w:right w:val="single" w:color="auto" w:sz="4" w:space="0"/>
            </w:tcBorders>
            <w:vAlign w:val="center"/>
          </w:tcPr>
          <w:p w14:paraId="275961D8">
            <w:pPr>
              <w:widowControl/>
              <w:jc w:val="left"/>
              <w:rPr>
                <w:rFonts w:hint="eastAsia" w:ascii="仿宋" w:hAnsi="仿宋" w:eastAsia="仿宋" w:cs="仿宋"/>
                <w:color w:val="000000"/>
                <w:kern w:val="0"/>
                <w:sz w:val="21"/>
                <w:szCs w:val="21"/>
              </w:rPr>
            </w:pPr>
          </w:p>
        </w:tc>
        <w:tc>
          <w:tcPr>
            <w:tcW w:w="1614" w:type="dxa"/>
            <w:tcBorders>
              <w:top w:val="nil"/>
              <w:left w:val="nil"/>
              <w:bottom w:val="single" w:color="auto" w:sz="4" w:space="0"/>
              <w:right w:val="single" w:color="auto" w:sz="4" w:space="0"/>
            </w:tcBorders>
            <w:shd w:val="clear" w:color="auto" w:fill="auto"/>
            <w:vAlign w:val="center"/>
          </w:tcPr>
          <w:p w14:paraId="5A56F9D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03智能无线通信技术</w:t>
            </w:r>
          </w:p>
        </w:tc>
        <w:tc>
          <w:tcPr>
            <w:tcW w:w="1266" w:type="dxa"/>
            <w:vMerge w:val="continue"/>
            <w:tcBorders>
              <w:top w:val="nil"/>
              <w:left w:val="single" w:color="auto" w:sz="4" w:space="0"/>
              <w:bottom w:val="single" w:color="auto" w:sz="4" w:space="0"/>
              <w:right w:val="single" w:color="auto" w:sz="4" w:space="0"/>
            </w:tcBorders>
            <w:vAlign w:val="center"/>
          </w:tcPr>
          <w:p w14:paraId="1D4617EB">
            <w:pPr>
              <w:widowControl/>
              <w:jc w:val="left"/>
              <w:rPr>
                <w:rFonts w:hint="eastAsia" w:ascii="仿宋" w:hAnsi="仿宋" w:eastAsia="仿宋" w:cs="仿宋"/>
                <w:color w:val="000000"/>
                <w:kern w:val="0"/>
                <w:sz w:val="21"/>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2C41BB4F">
            <w:pPr>
              <w:widowControl/>
              <w:jc w:val="left"/>
              <w:rPr>
                <w:rFonts w:hint="eastAsia" w:ascii="仿宋" w:hAnsi="仿宋" w:eastAsia="仿宋" w:cs="仿宋"/>
                <w:color w:val="000000"/>
                <w:kern w:val="0"/>
                <w:sz w:val="21"/>
                <w:szCs w:val="21"/>
              </w:rPr>
            </w:pPr>
          </w:p>
        </w:tc>
      </w:tr>
      <w:tr w14:paraId="5A7CCD15">
        <w:tblPrEx>
          <w:tblCellMar>
            <w:top w:w="0" w:type="dxa"/>
            <w:left w:w="108" w:type="dxa"/>
            <w:bottom w:w="0" w:type="dxa"/>
            <w:right w:w="108" w:type="dxa"/>
          </w:tblCellMar>
        </w:tblPrEx>
        <w:trPr>
          <w:trHeight w:val="605" w:hRule="atLeast"/>
        </w:trPr>
        <w:tc>
          <w:tcPr>
            <w:tcW w:w="555" w:type="dxa"/>
            <w:vMerge w:val="restart"/>
            <w:tcBorders>
              <w:top w:val="nil"/>
              <w:left w:val="single" w:color="auto" w:sz="4" w:space="0"/>
              <w:right w:val="single" w:color="auto" w:sz="4" w:space="0"/>
            </w:tcBorders>
            <w:vAlign w:val="center"/>
          </w:tcPr>
          <w:p w14:paraId="5E279EB0">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14:paraId="0695B74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0858</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能源动力</w:t>
            </w:r>
          </w:p>
        </w:tc>
        <w:tc>
          <w:tcPr>
            <w:tcW w:w="1230" w:type="dxa"/>
            <w:vMerge w:val="restart"/>
            <w:tcBorders>
              <w:top w:val="nil"/>
              <w:left w:val="single" w:color="auto" w:sz="4" w:space="0"/>
              <w:bottom w:val="single" w:color="auto" w:sz="4" w:space="0"/>
              <w:right w:val="single" w:color="auto" w:sz="4" w:space="0"/>
            </w:tcBorders>
            <w:shd w:val="clear" w:color="auto" w:fill="auto"/>
            <w:vAlign w:val="center"/>
          </w:tcPr>
          <w:p w14:paraId="24C291F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085801</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电气工程</w:t>
            </w:r>
          </w:p>
        </w:tc>
        <w:tc>
          <w:tcPr>
            <w:tcW w:w="1614" w:type="dxa"/>
            <w:tcBorders>
              <w:top w:val="nil"/>
              <w:left w:val="nil"/>
              <w:bottom w:val="single" w:color="auto" w:sz="4" w:space="0"/>
              <w:right w:val="single" w:color="auto" w:sz="4" w:space="0"/>
            </w:tcBorders>
            <w:shd w:val="clear" w:color="auto" w:fill="auto"/>
            <w:vAlign w:val="center"/>
          </w:tcPr>
          <w:p w14:paraId="6FF8794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01特种电机设计与系统运行</w:t>
            </w:r>
          </w:p>
        </w:tc>
        <w:tc>
          <w:tcPr>
            <w:tcW w:w="1266" w:type="dxa"/>
            <w:vMerge w:val="continue"/>
            <w:tcBorders>
              <w:top w:val="nil"/>
              <w:left w:val="single" w:color="auto" w:sz="4" w:space="0"/>
              <w:bottom w:val="single" w:color="auto" w:sz="4" w:space="0"/>
              <w:right w:val="single" w:color="auto" w:sz="4" w:space="0"/>
            </w:tcBorders>
            <w:vAlign w:val="center"/>
          </w:tcPr>
          <w:p w14:paraId="5D0A9BEC">
            <w:pPr>
              <w:widowControl/>
              <w:jc w:val="left"/>
              <w:rPr>
                <w:rFonts w:hint="eastAsia" w:ascii="仿宋" w:hAnsi="仿宋" w:eastAsia="仿宋" w:cs="仿宋"/>
                <w:color w:val="000000"/>
                <w:kern w:val="0"/>
                <w:sz w:val="21"/>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78E8963F">
            <w:pPr>
              <w:widowControl/>
              <w:jc w:val="left"/>
              <w:rPr>
                <w:rFonts w:hint="eastAsia" w:ascii="仿宋" w:hAnsi="仿宋" w:eastAsia="仿宋" w:cs="仿宋"/>
                <w:color w:val="000000"/>
                <w:kern w:val="0"/>
                <w:sz w:val="21"/>
                <w:szCs w:val="21"/>
              </w:rPr>
            </w:pPr>
          </w:p>
        </w:tc>
      </w:tr>
      <w:tr w14:paraId="5E459965">
        <w:tblPrEx>
          <w:tblCellMar>
            <w:top w:w="0" w:type="dxa"/>
            <w:left w:w="108" w:type="dxa"/>
            <w:bottom w:w="0" w:type="dxa"/>
            <w:right w:w="108" w:type="dxa"/>
          </w:tblCellMar>
        </w:tblPrEx>
        <w:trPr>
          <w:trHeight w:val="605" w:hRule="atLeast"/>
        </w:trPr>
        <w:tc>
          <w:tcPr>
            <w:tcW w:w="555" w:type="dxa"/>
            <w:vMerge w:val="continue"/>
            <w:tcBorders>
              <w:left w:val="single" w:color="auto" w:sz="4" w:space="0"/>
              <w:right w:val="single" w:color="auto" w:sz="4" w:space="0"/>
            </w:tcBorders>
            <w:vAlign w:val="center"/>
          </w:tcPr>
          <w:p w14:paraId="53861E85">
            <w:pPr>
              <w:widowControl/>
              <w:jc w:val="left"/>
              <w:rPr>
                <w:rFonts w:hint="eastAsia" w:ascii="仿宋" w:hAnsi="仿宋" w:eastAsia="仿宋" w:cs="仿宋"/>
                <w:color w:val="000000"/>
                <w:kern w:val="0"/>
                <w:sz w:val="21"/>
                <w:szCs w:val="21"/>
              </w:rPr>
            </w:pPr>
          </w:p>
        </w:tc>
        <w:tc>
          <w:tcPr>
            <w:tcW w:w="1200" w:type="dxa"/>
            <w:vMerge w:val="continue"/>
            <w:tcBorders>
              <w:top w:val="nil"/>
              <w:left w:val="single" w:color="auto" w:sz="4" w:space="0"/>
              <w:bottom w:val="single" w:color="auto" w:sz="4" w:space="0"/>
              <w:right w:val="single" w:color="auto" w:sz="4" w:space="0"/>
            </w:tcBorders>
            <w:vAlign w:val="center"/>
          </w:tcPr>
          <w:p w14:paraId="125178DF">
            <w:pPr>
              <w:widowControl/>
              <w:jc w:val="left"/>
              <w:rPr>
                <w:rFonts w:hint="eastAsia" w:ascii="仿宋" w:hAnsi="仿宋" w:eastAsia="仿宋" w:cs="仿宋"/>
                <w:color w:val="000000"/>
                <w:kern w:val="0"/>
                <w:sz w:val="21"/>
                <w:szCs w:val="21"/>
              </w:rPr>
            </w:pPr>
          </w:p>
        </w:tc>
        <w:tc>
          <w:tcPr>
            <w:tcW w:w="1230" w:type="dxa"/>
            <w:vMerge w:val="continue"/>
            <w:tcBorders>
              <w:top w:val="nil"/>
              <w:left w:val="single" w:color="auto" w:sz="4" w:space="0"/>
              <w:bottom w:val="single" w:color="auto" w:sz="4" w:space="0"/>
              <w:right w:val="single" w:color="auto" w:sz="4" w:space="0"/>
            </w:tcBorders>
            <w:vAlign w:val="center"/>
          </w:tcPr>
          <w:p w14:paraId="4F5F9073">
            <w:pPr>
              <w:widowControl/>
              <w:jc w:val="left"/>
              <w:rPr>
                <w:rFonts w:hint="eastAsia" w:ascii="仿宋" w:hAnsi="仿宋" w:eastAsia="仿宋" w:cs="仿宋"/>
                <w:color w:val="000000"/>
                <w:kern w:val="0"/>
                <w:sz w:val="21"/>
                <w:szCs w:val="21"/>
              </w:rPr>
            </w:pPr>
          </w:p>
        </w:tc>
        <w:tc>
          <w:tcPr>
            <w:tcW w:w="1614" w:type="dxa"/>
            <w:tcBorders>
              <w:top w:val="nil"/>
              <w:left w:val="nil"/>
              <w:bottom w:val="single" w:color="auto" w:sz="4" w:space="0"/>
              <w:right w:val="single" w:color="auto" w:sz="4" w:space="0"/>
            </w:tcBorders>
            <w:shd w:val="clear" w:color="auto" w:fill="auto"/>
            <w:vAlign w:val="center"/>
          </w:tcPr>
          <w:p w14:paraId="40C6FC0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02电力电子变换与驱动控制</w:t>
            </w:r>
          </w:p>
        </w:tc>
        <w:tc>
          <w:tcPr>
            <w:tcW w:w="1266" w:type="dxa"/>
            <w:vMerge w:val="continue"/>
            <w:tcBorders>
              <w:top w:val="nil"/>
              <w:left w:val="single" w:color="auto" w:sz="4" w:space="0"/>
              <w:bottom w:val="single" w:color="auto" w:sz="4" w:space="0"/>
              <w:right w:val="single" w:color="auto" w:sz="4" w:space="0"/>
            </w:tcBorders>
            <w:vAlign w:val="center"/>
          </w:tcPr>
          <w:p w14:paraId="791AFEBB">
            <w:pPr>
              <w:widowControl/>
              <w:jc w:val="left"/>
              <w:rPr>
                <w:rFonts w:hint="eastAsia" w:ascii="仿宋" w:hAnsi="仿宋" w:eastAsia="仿宋" w:cs="仿宋"/>
                <w:color w:val="000000"/>
                <w:kern w:val="0"/>
                <w:sz w:val="21"/>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63C1E712">
            <w:pPr>
              <w:widowControl/>
              <w:jc w:val="left"/>
              <w:rPr>
                <w:rFonts w:hint="eastAsia" w:ascii="仿宋" w:hAnsi="仿宋" w:eastAsia="仿宋" w:cs="仿宋"/>
                <w:color w:val="000000"/>
                <w:kern w:val="0"/>
                <w:sz w:val="21"/>
                <w:szCs w:val="21"/>
              </w:rPr>
            </w:pPr>
          </w:p>
        </w:tc>
      </w:tr>
      <w:tr w14:paraId="30587D37">
        <w:tblPrEx>
          <w:tblCellMar>
            <w:top w:w="0" w:type="dxa"/>
            <w:left w:w="108" w:type="dxa"/>
            <w:bottom w:w="0" w:type="dxa"/>
            <w:right w:w="108" w:type="dxa"/>
          </w:tblCellMar>
        </w:tblPrEx>
        <w:trPr>
          <w:trHeight w:val="614" w:hRule="atLeast"/>
        </w:trPr>
        <w:tc>
          <w:tcPr>
            <w:tcW w:w="555" w:type="dxa"/>
            <w:vMerge w:val="continue"/>
            <w:tcBorders>
              <w:left w:val="single" w:color="auto" w:sz="4" w:space="0"/>
              <w:bottom w:val="single" w:color="auto" w:sz="4" w:space="0"/>
              <w:right w:val="single" w:color="auto" w:sz="4" w:space="0"/>
            </w:tcBorders>
            <w:vAlign w:val="center"/>
          </w:tcPr>
          <w:p w14:paraId="5061C627">
            <w:pPr>
              <w:widowControl/>
              <w:jc w:val="left"/>
              <w:rPr>
                <w:rFonts w:hint="eastAsia" w:ascii="仿宋" w:hAnsi="仿宋" w:eastAsia="仿宋" w:cs="仿宋"/>
                <w:color w:val="000000"/>
                <w:kern w:val="0"/>
                <w:sz w:val="21"/>
                <w:szCs w:val="21"/>
              </w:rPr>
            </w:pPr>
          </w:p>
        </w:tc>
        <w:tc>
          <w:tcPr>
            <w:tcW w:w="1200" w:type="dxa"/>
            <w:vMerge w:val="continue"/>
            <w:tcBorders>
              <w:top w:val="nil"/>
              <w:left w:val="single" w:color="auto" w:sz="4" w:space="0"/>
              <w:bottom w:val="single" w:color="auto" w:sz="4" w:space="0"/>
              <w:right w:val="single" w:color="auto" w:sz="4" w:space="0"/>
            </w:tcBorders>
            <w:vAlign w:val="center"/>
          </w:tcPr>
          <w:p w14:paraId="31BFB5E9">
            <w:pPr>
              <w:widowControl/>
              <w:jc w:val="left"/>
              <w:rPr>
                <w:rFonts w:hint="eastAsia" w:ascii="仿宋" w:hAnsi="仿宋" w:eastAsia="仿宋" w:cs="仿宋"/>
                <w:color w:val="000000"/>
                <w:kern w:val="0"/>
                <w:sz w:val="21"/>
                <w:szCs w:val="21"/>
              </w:rPr>
            </w:pPr>
          </w:p>
        </w:tc>
        <w:tc>
          <w:tcPr>
            <w:tcW w:w="1230" w:type="dxa"/>
            <w:vMerge w:val="continue"/>
            <w:tcBorders>
              <w:top w:val="nil"/>
              <w:left w:val="single" w:color="auto" w:sz="4" w:space="0"/>
              <w:bottom w:val="single" w:color="auto" w:sz="4" w:space="0"/>
              <w:right w:val="single" w:color="auto" w:sz="4" w:space="0"/>
            </w:tcBorders>
            <w:vAlign w:val="center"/>
          </w:tcPr>
          <w:p w14:paraId="6A695D5E">
            <w:pPr>
              <w:widowControl/>
              <w:jc w:val="left"/>
              <w:rPr>
                <w:rFonts w:hint="eastAsia" w:ascii="仿宋" w:hAnsi="仿宋" w:eastAsia="仿宋" w:cs="仿宋"/>
                <w:color w:val="000000"/>
                <w:kern w:val="0"/>
                <w:sz w:val="21"/>
                <w:szCs w:val="21"/>
              </w:rPr>
            </w:pPr>
          </w:p>
        </w:tc>
        <w:tc>
          <w:tcPr>
            <w:tcW w:w="1614" w:type="dxa"/>
            <w:tcBorders>
              <w:top w:val="nil"/>
              <w:left w:val="nil"/>
              <w:bottom w:val="single" w:color="auto" w:sz="4" w:space="0"/>
              <w:right w:val="single" w:color="auto" w:sz="4" w:space="0"/>
            </w:tcBorders>
            <w:shd w:val="clear" w:color="auto" w:fill="auto"/>
            <w:vAlign w:val="center"/>
          </w:tcPr>
          <w:p w14:paraId="149D4A9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03新能源发电与智能电网</w:t>
            </w:r>
          </w:p>
        </w:tc>
        <w:tc>
          <w:tcPr>
            <w:tcW w:w="1266" w:type="dxa"/>
            <w:vMerge w:val="continue"/>
            <w:tcBorders>
              <w:top w:val="nil"/>
              <w:left w:val="single" w:color="auto" w:sz="4" w:space="0"/>
              <w:bottom w:val="single" w:color="auto" w:sz="4" w:space="0"/>
              <w:right w:val="single" w:color="auto" w:sz="4" w:space="0"/>
            </w:tcBorders>
            <w:vAlign w:val="center"/>
          </w:tcPr>
          <w:p w14:paraId="30D88F29">
            <w:pPr>
              <w:widowControl/>
              <w:jc w:val="left"/>
              <w:rPr>
                <w:rFonts w:hint="eastAsia" w:ascii="仿宋" w:hAnsi="仿宋" w:eastAsia="仿宋" w:cs="仿宋"/>
                <w:color w:val="000000"/>
                <w:kern w:val="0"/>
                <w:sz w:val="21"/>
                <w:szCs w:val="21"/>
              </w:rPr>
            </w:pPr>
          </w:p>
        </w:tc>
        <w:tc>
          <w:tcPr>
            <w:tcW w:w="2160" w:type="dxa"/>
            <w:vMerge w:val="continue"/>
            <w:tcBorders>
              <w:top w:val="nil"/>
              <w:left w:val="single" w:color="auto" w:sz="4" w:space="0"/>
              <w:bottom w:val="single" w:color="000000" w:sz="4" w:space="0"/>
              <w:right w:val="single" w:color="auto" w:sz="4" w:space="0"/>
            </w:tcBorders>
            <w:vAlign w:val="center"/>
          </w:tcPr>
          <w:p w14:paraId="6998304A">
            <w:pPr>
              <w:widowControl/>
              <w:jc w:val="left"/>
              <w:rPr>
                <w:rFonts w:hint="eastAsia" w:ascii="仿宋" w:hAnsi="仿宋" w:eastAsia="仿宋" w:cs="仿宋"/>
                <w:color w:val="000000"/>
                <w:kern w:val="0"/>
                <w:sz w:val="21"/>
                <w:szCs w:val="21"/>
              </w:rPr>
            </w:pPr>
          </w:p>
        </w:tc>
      </w:tr>
    </w:tbl>
    <w:p w14:paraId="258B36BB">
      <w:pPr>
        <w:rPr>
          <w:rFonts w:hint="eastAsia" w:ascii="仿宋" w:hAnsi="仿宋" w:eastAsia="仿宋" w:cs="仿宋"/>
          <w:sz w:val="24"/>
          <w:szCs w:val="24"/>
          <w:lang w:val="en-US" w:eastAsia="zh-CN"/>
        </w:rPr>
      </w:pPr>
    </w:p>
    <w:p w14:paraId="2CCABA00">
      <w:pPr>
        <w:ind w:firstLine="562" w:firstLineChars="200"/>
        <w:rPr>
          <w:rFonts w:hint="eastAsia" w:ascii="仿宋" w:hAnsi="仿宋" w:eastAsia="仿宋"/>
          <w:sz w:val="28"/>
          <w:szCs w:val="28"/>
        </w:rPr>
      </w:pPr>
      <w:r>
        <w:rPr>
          <w:rFonts w:hint="eastAsia" w:ascii="仿宋" w:hAnsi="仿宋" w:eastAsia="仿宋"/>
          <w:b/>
          <w:bCs/>
          <w:sz w:val="28"/>
          <w:szCs w:val="28"/>
        </w:rPr>
        <w:t>2.综合素质面试：</w:t>
      </w:r>
      <w:r>
        <w:rPr>
          <w:rFonts w:hint="eastAsia" w:ascii="仿宋" w:hAnsi="仿宋" w:eastAsia="仿宋"/>
          <w:sz w:val="28"/>
          <w:szCs w:val="28"/>
        </w:rPr>
        <w:t>满分100分，采取面试形式进行，重点考查考生的专业知识、创新意识、科研能力、</w:t>
      </w:r>
      <w:r>
        <w:rPr>
          <w:rFonts w:hint="eastAsia" w:ascii="仿宋" w:hAnsi="仿宋" w:eastAsia="仿宋"/>
          <w:sz w:val="28"/>
          <w:szCs w:val="28"/>
          <w:lang w:val="en-US" w:eastAsia="zh-CN"/>
        </w:rPr>
        <w:t>英语</w:t>
      </w:r>
      <w:r>
        <w:rPr>
          <w:rFonts w:hint="eastAsia" w:ascii="仿宋" w:hAnsi="仿宋" w:eastAsia="仿宋"/>
          <w:sz w:val="28"/>
          <w:szCs w:val="28"/>
        </w:rPr>
        <w:t>听说能力和心理素质等，其中英语听说能力测试满分为20分。</w:t>
      </w:r>
    </w:p>
    <w:p w14:paraId="6C177097">
      <w:pPr>
        <w:ind w:firstLine="560" w:firstLineChars="200"/>
        <w:rPr>
          <w:rFonts w:hint="eastAsia" w:ascii="仿宋" w:hAnsi="仿宋" w:eastAsia="仿宋"/>
          <w:sz w:val="28"/>
          <w:szCs w:val="28"/>
        </w:rPr>
      </w:pPr>
      <w:r>
        <w:rPr>
          <w:rFonts w:hint="eastAsia" w:ascii="仿宋" w:hAnsi="仿宋" w:eastAsia="仿宋"/>
          <w:sz w:val="28"/>
          <w:szCs w:val="28"/>
        </w:rPr>
        <w:t>复试总成绩折算为百分制后，低于60分为不合格，不予录取。</w:t>
      </w:r>
    </w:p>
    <w:bookmarkEnd w:id="6"/>
    <w:bookmarkEnd w:id="7"/>
    <w:p w14:paraId="16C721F1">
      <w:pPr>
        <w:numPr>
          <w:ilvl w:val="0"/>
          <w:numId w:val="0"/>
        </w:numPr>
        <w:ind w:firstLine="562" w:firstLineChars="200"/>
        <w:rPr>
          <w:rFonts w:hint="eastAsia" w:ascii="仿宋" w:hAnsi="仿宋" w:eastAsia="仿宋"/>
          <w:sz w:val="28"/>
          <w:szCs w:val="28"/>
          <w:lang w:val="en-US" w:eastAsia="zh-CN"/>
        </w:rPr>
      </w:pPr>
      <w:r>
        <w:rPr>
          <w:rFonts w:hint="eastAsia" w:ascii="仿宋" w:hAnsi="仿宋" w:eastAsia="仿宋"/>
          <w:b/>
          <w:bCs/>
          <w:sz w:val="28"/>
          <w:szCs w:val="28"/>
          <w:lang w:val="en-US" w:eastAsia="zh-CN"/>
        </w:rPr>
        <w:t>3.</w:t>
      </w:r>
      <w:r>
        <w:rPr>
          <w:rFonts w:hint="eastAsia" w:ascii="仿宋" w:hAnsi="仿宋" w:eastAsia="仿宋"/>
          <w:b/>
          <w:bCs/>
          <w:sz w:val="28"/>
          <w:szCs w:val="28"/>
        </w:rPr>
        <w:t>加试</w:t>
      </w:r>
      <w:r>
        <w:rPr>
          <w:rFonts w:hint="eastAsia" w:ascii="仿宋" w:hAnsi="仿宋" w:eastAsia="仿宋"/>
          <w:b/>
          <w:bCs/>
          <w:sz w:val="28"/>
          <w:szCs w:val="28"/>
          <w:lang w:eastAsia="zh-CN"/>
        </w:rPr>
        <w:t>：</w:t>
      </w:r>
      <w:r>
        <w:rPr>
          <w:rFonts w:hint="eastAsia" w:ascii="仿宋" w:hAnsi="仿宋" w:eastAsia="仿宋"/>
          <w:sz w:val="28"/>
          <w:szCs w:val="28"/>
        </w:rPr>
        <w:t>以同等学力参加复试的考生，在复试中须加试两门与报考专业相关的本科主干课程。具体加试科目及参考书目</w:t>
      </w:r>
      <w:r>
        <w:rPr>
          <w:rFonts w:hint="eastAsia" w:ascii="仿宋" w:hAnsi="仿宋" w:eastAsia="仿宋"/>
          <w:sz w:val="28"/>
          <w:szCs w:val="28"/>
          <w:lang w:val="en-US" w:eastAsia="zh-CN"/>
        </w:rPr>
        <w:t>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1843"/>
        <w:gridCol w:w="1134"/>
        <w:gridCol w:w="1559"/>
        <w:gridCol w:w="2035"/>
      </w:tblGrid>
      <w:tr w14:paraId="4239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ECDFC29">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276" w:type="dxa"/>
            <w:shd w:val="clear" w:color="auto" w:fill="auto"/>
            <w:vAlign w:val="center"/>
          </w:tcPr>
          <w:p w14:paraId="09A975B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专业类别</w:t>
            </w:r>
          </w:p>
        </w:tc>
        <w:tc>
          <w:tcPr>
            <w:tcW w:w="1843" w:type="dxa"/>
            <w:shd w:val="clear" w:color="auto" w:fill="auto"/>
            <w:vAlign w:val="center"/>
          </w:tcPr>
          <w:p w14:paraId="180AC26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专业领域及研究方向</w:t>
            </w:r>
          </w:p>
        </w:tc>
        <w:tc>
          <w:tcPr>
            <w:tcW w:w="1134" w:type="dxa"/>
            <w:shd w:val="clear" w:color="auto" w:fill="auto"/>
            <w:vAlign w:val="center"/>
          </w:tcPr>
          <w:p w14:paraId="5D32E616">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同等学力加试科目代码</w:t>
            </w:r>
          </w:p>
        </w:tc>
        <w:tc>
          <w:tcPr>
            <w:tcW w:w="1559" w:type="dxa"/>
            <w:shd w:val="clear" w:color="auto" w:fill="auto"/>
            <w:vAlign w:val="center"/>
          </w:tcPr>
          <w:p w14:paraId="057002F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同等学力加试科目名称</w:t>
            </w:r>
          </w:p>
        </w:tc>
        <w:tc>
          <w:tcPr>
            <w:tcW w:w="2035" w:type="dxa"/>
            <w:shd w:val="clear" w:color="auto" w:fill="auto"/>
            <w:vAlign w:val="center"/>
          </w:tcPr>
          <w:p w14:paraId="30CD3A23">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参考书目</w:t>
            </w:r>
          </w:p>
        </w:tc>
      </w:tr>
      <w:tr w14:paraId="7259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675" w:type="dxa"/>
            <w:vMerge w:val="restart"/>
            <w:vAlign w:val="center"/>
          </w:tcPr>
          <w:p w14:paraId="72202176">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1276" w:type="dxa"/>
            <w:vMerge w:val="restart"/>
            <w:vAlign w:val="center"/>
          </w:tcPr>
          <w:p w14:paraId="583BD4B7">
            <w:pPr>
              <w:jc w:val="center"/>
              <w:rPr>
                <w:rFonts w:hint="eastAsia" w:ascii="仿宋" w:hAnsi="仿宋" w:eastAsia="仿宋"/>
                <w:szCs w:val="21"/>
              </w:rPr>
            </w:pPr>
            <w:r>
              <w:rPr>
                <w:rFonts w:hint="eastAsia" w:ascii="仿宋" w:hAnsi="仿宋" w:eastAsia="仿宋" w:cs="仿宋"/>
                <w:color w:val="000000"/>
                <w:kern w:val="0"/>
                <w:szCs w:val="21"/>
              </w:rPr>
              <w:t>0854</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电子信息</w:t>
            </w:r>
          </w:p>
        </w:tc>
        <w:tc>
          <w:tcPr>
            <w:tcW w:w="1843" w:type="dxa"/>
            <w:vMerge w:val="restart"/>
            <w:vAlign w:val="center"/>
          </w:tcPr>
          <w:p w14:paraId="6258826C">
            <w:pPr>
              <w:rPr>
                <w:rFonts w:hint="eastAsia" w:ascii="仿宋" w:hAnsi="仿宋" w:eastAsia="仿宋"/>
                <w:szCs w:val="21"/>
              </w:rPr>
            </w:pPr>
            <w:r>
              <w:rPr>
                <w:rFonts w:hint="eastAsia" w:ascii="仿宋" w:hAnsi="仿宋" w:eastAsia="仿宋" w:cs="仿宋"/>
                <w:color w:val="000000"/>
                <w:kern w:val="0"/>
                <w:szCs w:val="21"/>
              </w:rPr>
              <w:t>085401</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新一代电子信息技术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01模式识别与智能感知技术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02多源信息融合与分析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03智能无线通信技术</w:t>
            </w:r>
          </w:p>
        </w:tc>
        <w:tc>
          <w:tcPr>
            <w:tcW w:w="1134" w:type="dxa"/>
            <w:vAlign w:val="center"/>
          </w:tcPr>
          <w:p w14:paraId="162FAA45">
            <w:pPr>
              <w:jc w:val="center"/>
              <w:rPr>
                <w:rFonts w:hint="eastAsia" w:ascii="仿宋" w:hAnsi="仿宋" w:eastAsia="仿宋"/>
                <w:szCs w:val="21"/>
              </w:rPr>
            </w:pPr>
            <w:r>
              <w:rPr>
                <w:rFonts w:hint="eastAsia" w:ascii="仿宋" w:hAnsi="仿宋" w:eastAsia="仿宋" w:cs="仿宋"/>
                <w:color w:val="000000"/>
                <w:kern w:val="0"/>
                <w:szCs w:val="21"/>
              </w:rPr>
              <w:t>T02</w:t>
            </w:r>
          </w:p>
        </w:tc>
        <w:tc>
          <w:tcPr>
            <w:tcW w:w="1559" w:type="dxa"/>
            <w:vAlign w:val="center"/>
          </w:tcPr>
          <w:p w14:paraId="54F2EB23">
            <w:pPr>
              <w:jc w:val="center"/>
              <w:rPr>
                <w:rFonts w:hint="eastAsia" w:ascii="仿宋" w:hAnsi="仿宋" w:eastAsia="仿宋"/>
                <w:szCs w:val="21"/>
              </w:rPr>
            </w:pPr>
            <w:r>
              <w:rPr>
                <w:rFonts w:hint="eastAsia" w:ascii="仿宋" w:hAnsi="仿宋" w:eastAsia="仿宋" w:cs="仿宋"/>
                <w:color w:val="000000"/>
                <w:kern w:val="0"/>
                <w:szCs w:val="21"/>
              </w:rPr>
              <w:t>信号与系统</w:t>
            </w:r>
          </w:p>
        </w:tc>
        <w:tc>
          <w:tcPr>
            <w:tcW w:w="2035" w:type="dxa"/>
            <w:vAlign w:val="center"/>
          </w:tcPr>
          <w:p w14:paraId="0329D33B">
            <w:pPr>
              <w:rPr>
                <w:rFonts w:hint="eastAsia" w:ascii="仿宋" w:hAnsi="仿宋" w:eastAsia="仿宋"/>
                <w:szCs w:val="21"/>
              </w:rPr>
            </w:pPr>
            <w:r>
              <w:rPr>
                <w:rFonts w:hint="eastAsia" w:ascii="仿宋" w:hAnsi="仿宋" w:eastAsia="仿宋" w:cs="仿宋"/>
                <w:color w:val="000000"/>
                <w:kern w:val="0"/>
                <w:szCs w:val="21"/>
              </w:rPr>
              <w:t>《信号与系统分析》（第3版），赵泓扬编， 电子工业出版社</w:t>
            </w:r>
          </w:p>
        </w:tc>
      </w:tr>
      <w:tr w14:paraId="3956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75" w:type="dxa"/>
            <w:vMerge w:val="continue"/>
            <w:vAlign w:val="center"/>
          </w:tcPr>
          <w:p w14:paraId="45615227">
            <w:pPr>
              <w:rPr>
                <w:rFonts w:hint="eastAsia" w:ascii="仿宋" w:hAnsi="仿宋" w:eastAsia="仿宋"/>
                <w:szCs w:val="21"/>
              </w:rPr>
            </w:pPr>
          </w:p>
        </w:tc>
        <w:tc>
          <w:tcPr>
            <w:tcW w:w="1276" w:type="dxa"/>
            <w:vMerge w:val="continue"/>
            <w:vAlign w:val="center"/>
          </w:tcPr>
          <w:p w14:paraId="4202FF38">
            <w:pPr>
              <w:jc w:val="center"/>
              <w:rPr>
                <w:rFonts w:hint="eastAsia" w:ascii="仿宋" w:hAnsi="仿宋" w:eastAsia="仿宋"/>
                <w:szCs w:val="21"/>
              </w:rPr>
            </w:pPr>
          </w:p>
        </w:tc>
        <w:tc>
          <w:tcPr>
            <w:tcW w:w="1843" w:type="dxa"/>
            <w:vMerge w:val="continue"/>
            <w:vAlign w:val="center"/>
          </w:tcPr>
          <w:p w14:paraId="45E54A63">
            <w:pPr>
              <w:rPr>
                <w:rFonts w:hint="eastAsia" w:ascii="仿宋" w:hAnsi="仿宋" w:eastAsia="仿宋"/>
                <w:szCs w:val="21"/>
              </w:rPr>
            </w:pPr>
          </w:p>
        </w:tc>
        <w:tc>
          <w:tcPr>
            <w:tcW w:w="1134" w:type="dxa"/>
            <w:vAlign w:val="center"/>
          </w:tcPr>
          <w:p w14:paraId="682945E9">
            <w:pPr>
              <w:jc w:val="center"/>
              <w:rPr>
                <w:rFonts w:hint="eastAsia" w:ascii="仿宋" w:hAnsi="仿宋" w:eastAsia="仿宋"/>
                <w:szCs w:val="21"/>
              </w:rPr>
            </w:pPr>
            <w:r>
              <w:rPr>
                <w:rFonts w:hint="eastAsia" w:ascii="仿宋" w:hAnsi="仿宋" w:eastAsia="仿宋" w:cs="仿宋"/>
                <w:color w:val="000000"/>
                <w:kern w:val="0"/>
                <w:szCs w:val="21"/>
              </w:rPr>
              <w:t>D02</w:t>
            </w:r>
          </w:p>
        </w:tc>
        <w:tc>
          <w:tcPr>
            <w:tcW w:w="1559" w:type="dxa"/>
            <w:vAlign w:val="center"/>
          </w:tcPr>
          <w:p w14:paraId="7557C1F6">
            <w:pPr>
              <w:jc w:val="center"/>
              <w:rPr>
                <w:rFonts w:hint="eastAsia" w:ascii="仿宋" w:hAnsi="仿宋" w:eastAsia="仿宋"/>
                <w:szCs w:val="21"/>
              </w:rPr>
            </w:pPr>
            <w:r>
              <w:rPr>
                <w:rFonts w:hint="eastAsia" w:ascii="仿宋" w:hAnsi="仿宋" w:eastAsia="仿宋" w:cs="仿宋"/>
                <w:color w:val="000000"/>
                <w:kern w:val="0"/>
                <w:szCs w:val="21"/>
              </w:rPr>
              <w:t>通信原理</w:t>
            </w:r>
          </w:p>
        </w:tc>
        <w:tc>
          <w:tcPr>
            <w:tcW w:w="2035" w:type="dxa"/>
            <w:vAlign w:val="center"/>
          </w:tcPr>
          <w:p w14:paraId="40057D6A">
            <w:pPr>
              <w:rPr>
                <w:rFonts w:hint="eastAsia" w:ascii="仿宋" w:hAnsi="仿宋" w:eastAsia="仿宋"/>
                <w:szCs w:val="21"/>
              </w:rPr>
            </w:pPr>
            <w:r>
              <w:rPr>
                <w:rFonts w:hint="eastAsia" w:ascii="仿宋" w:hAnsi="仿宋" w:eastAsia="仿宋" w:cs="仿宋"/>
                <w:color w:val="000000"/>
                <w:kern w:val="0"/>
                <w:szCs w:val="21"/>
              </w:rPr>
              <w:t>《通信原理》（第7版），樊昌信、曹丽娜编，国防工业出版社</w:t>
            </w:r>
          </w:p>
        </w:tc>
      </w:tr>
      <w:tr w14:paraId="404A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75" w:type="dxa"/>
            <w:vMerge w:val="restart"/>
            <w:vAlign w:val="center"/>
          </w:tcPr>
          <w:p w14:paraId="5EB5A4DA">
            <w:pPr>
              <w:jc w:val="center"/>
              <w:rPr>
                <w:rFonts w:hint="eastAsia" w:ascii="仿宋" w:hAnsi="仿宋" w:eastAsia="仿宋"/>
                <w:szCs w:val="21"/>
              </w:rPr>
            </w:pPr>
            <w:r>
              <w:rPr>
                <w:rFonts w:hint="eastAsia" w:ascii="仿宋" w:hAnsi="仿宋" w:eastAsia="仿宋"/>
                <w:szCs w:val="21"/>
              </w:rPr>
              <w:t>2</w:t>
            </w:r>
          </w:p>
        </w:tc>
        <w:tc>
          <w:tcPr>
            <w:tcW w:w="1276" w:type="dxa"/>
            <w:vMerge w:val="restart"/>
            <w:vAlign w:val="center"/>
          </w:tcPr>
          <w:p w14:paraId="7982288B">
            <w:pPr>
              <w:jc w:val="center"/>
              <w:rPr>
                <w:rFonts w:hint="eastAsia" w:ascii="仿宋" w:hAnsi="仿宋" w:eastAsia="仿宋"/>
                <w:szCs w:val="21"/>
              </w:rPr>
            </w:pPr>
            <w:r>
              <w:rPr>
                <w:rFonts w:hint="eastAsia" w:ascii="仿宋" w:hAnsi="仿宋" w:eastAsia="仿宋" w:cs="仿宋"/>
                <w:color w:val="000000"/>
                <w:kern w:val="0"/>
                <w:szCs w:val="21"/>
              </w:rPr>
              <w:t>0858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能源动力</w:t>
            </w:r>
          </w:p>
        </w:tc>
        <w:tc>
          <w:tcPr>
            <w:tcW w:w="1843" w:type="dxa"/>
            <w:vMerge w:val="restart"/>
            <w:vAlign w:val="center"/>
          </w:tcPr>
          <w:p w14:paraId="115A452D">
            <w:pPr>
              <w:rPr>
                <w:rFonts w:hint="eastAsia" w:ascii="仿宋" w:hAnsi="仿宋" w:eastAsia="仿宋"/>
                <w:szCs w:val="21"/>
              </w:rPr>
            </w:pPr>
            <w:r>
              <w:rPr>
                <w:rFonts w:hint="eastAsia" w:ascii="仿宋" w:hAnsi="仿宋" w:eastAsia="仿宋" w:cs="仿宋"/>
                <w:color w:val="000000"/>
                <w:kern w:val="0"/>
                <w:szCs w:val="21"/>
              </w:rPr>
              <w:t>085801</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电气工程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01特种电机设计与系统运行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02电力电子变换与驱动控制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03新能源发电与智能电网</w:t>
            </w:r>
          </w:p>
        </w:tc>
        <w:tc>
          <w:tcPr>
            <w:tcW w:w="1134" w:type="dxa"/>
            <w:vAlign w:val="center"/>
          </w:tcPr>
          <w:p w14:paraId="4F1C7962">
            <w:pPr>
              <w:jc w:val="center"/>
              <w:rPr>
                <w:rFonts w:hint="eastAsia" w:ascii="仿宋" w:hAnsi="仿宋" w:eastAsia="仿宋"/>
                <w:szCs w:val="21"/>
              </w:rPr>
            </w:pPr>
            <w:r>
              <w:rPr>
                <w:rFonts w:hint="eastAsia" w:ascii="仿宋" w:hAnsi="仿宋" w:eastAsia="仿宋" w:cs="仿宋"/>
                <w:color w:val="000000"/>
                <w:kern w:val="0"/>
                <w:szCs w:val="21"/>
              </w:rPr>
              <w:t>T03</w:t>
            </w:r>
          </w:p>
        </w:tc>
        <w:tc>
          <w:tcPr>
            <w:tcW w:w="1559" w:type="dxa"/>
            <w:vAlign w:val="center"/>
          </w:tcPr>
          <w:p w14:paraId="12697A9F">
            <w:pPr>
              <w:jc w:val="center"/>
              <w:rPr>
                <w:rFonts w:hint="eastAsia" w:ascii="仿宋" w:hAnsi="仿宋" w:eastAsia="仿宋"/>
                <w:szCs w:val="21"/>
              </w:rPr>
            </w:pPr>
            <w:r>
              <w:rPr>
                <w:rFonts w:hint="eastAsia" w:ascii="仿宋" w:hAnsi="仿宋" w:eastAsia="仿宋" w:cs="仿宋"/>
                <w:color w:val="000000"/>
                <w:kern w:val="0"/>
                <w:szCs w:val="21"/>
              </w:rPr>
              <w:t>电力电子技术</w:t>
            </w:r>
          </w:p>
        </w:tc>
        <w:tc>
          <w:tcPr>
            <w:tcW w:w="2035" w:type="dxa"/>
            <w:vAlign w:val="center"/>
          </w:tcPr>
          <w:p w14:paraId="7391ED51">
            <w:pPr>
              <w:rPr>
                <w:rFonts w:hint="eastAsia" w:ascii="仿宋" w:hAnsi="仿宋" w:eastAsia="仿宋"/>
                <w:szCs w:val="21"/>
              </w:rPr>
            </w:pPr>
            <w:r>
              <w:rPr>
                <w:rFonts w:hint="eastAsia" w:ascii="仿宋" w:hAnsi="仿宋" w:eastAsia="仿宋" w:cs="仿宋"/>
                <w:color w:val="000000"/>
                <w:kern w:val="0"/>
                <w:szCs w:val="21"/>
              </w:rPr>
              <w:t>《电力电子技术》（第6版），刘进军、王兆安主编，机械工业出版社</w:t>
            </w:r>
          </w:p>
        </w:tc>
      </w:tr>
      <w:tr w14:paraId="0769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2CC9A6B">
            <w:pPr>
              <w:rPr>
                <w:rFonts w:hint="eastAsia" w:ascii="仿宋" w:hAnsi="仿宋" w:eastAsia="仿宋"/>
                <w:szCs w:val="21"/>
              </w:rPr>
            </w:pPr>
          </w:p>
        </w:tc>
        <w:tc>
          <w:tcPr>
            <w:tcW w:w="1276" w:type="dxa"/>
            <w:vMerge w:val="continue"/>
            <w:vAlign w:val="center"/>
          </w:tcPr>
          <w:p w14:paraId="5959ED4E">
            <w:pPr>
              <w:rPr>
                <w:rFonts w:hint="eastAsia" w:ascii="仿宋" w:hAnsi="仿宋" w:eastAsia="仿宋"/>
                <w:szCs w:val="21"/>
              </w:rPr>
            </w:pPr>
          </w:p>
        </w:tc>
        <w:tc>
          <w:tcPr>
            <w:tcW w:w="1843" w:type="dxa"/>
            <w:vMerge w:val="continue"/>
            <w:vAlign w:val="center"/>
          </w:tcPr>
          <w:p w14:paraId="6225C78E">
            <w:pPr>
              <w:rPr>
                <w:rFonts w:hint="eastAsia" w:ascii="仿宋" w:hAnsi="仿宋" w:eastAsia="仿宋"/>
                <w:szCs w:val="21"/>
              </w:rPr>
            </w:pPr>
          </w:p>
        </w:tc>
        <w:tc>
          <w:tcPr>
            <w:tcW w:w="1134" w:type="dxa"/>
            <w:vAlign w:val="center"/>
          </w:tcPr>
          <w:p w14:paraId="20B2CCF8">
            <w:pPr>
              <w:jc w:val="center"/>
              <w:rPr>
                <w:rFonts w:hint="eastAsia" w:ascii="仿宋" w:hAnsi="仿宋" w:eastAsia="仿宋"/>
                <w:szCs w:val="21"/>
              </w:rPr>
            </w:pPr>
            <w:r>
              <w:rPr>
                <w:rFonts w:hint="eastAsia" w:ascii="仿宋" w:hAnsi="仿宋" w:eastAsia="仿宋" w:cs="仿宋"/>
                <w:color w:val="000000"/>
                <w:kern w:val="0"/>
                <w:szCs w:val="21"/>
              </w:rPr>
              <w:t>D03</w:t>
            </w:r>
          </w:p>
        </w:tc>
        <w:tc>
          <w:tcPr>
            <w:tcW w:w="1559" w:type="dxa"/>
            <w:vAlign w:val="center"/>
          </w:tcPr>
          <w:p w14:paraId="2061C5E9">
            <w:pPr>
              <w:jc w:val="center"/>
              <w:rPr>
                <w:rFonts w:hint="eastAsia" w:ascii="仿宋" w:hAnsi="仿宋" w:eastAsia="仿宋"/>
                <w:szCs w:val="21"/>
              </w:rPr>
            </w:pPr>
            <w:r>
              <w:rPr>
                <w:rFonts w:hint="eastAsia" w:ascii="仿宋" w:hAnsi="仿宋" w:eastAsia="仿宋" w:cs="仿宋"/>
                <w:color w:val="000000"/>
                <w:kern w:val="0"/>
                <w:szCs w:val="21"/>
              </w:rPr>
              <w:t>电机原理与拖动</w:t>
            </w:r>
          </w:p>
        </w:tc>
        <w:tc>
          <w:tcPr>
            <w:tcW w:w="2035" w:type="dxa"/>
            <w:vAlign w:val="center"/>
          </w:tcPr>
          <w:p w14:paraId="2B22A466">
            <w:pPr>
              <w:rPr>
                <w:rFonts w:hint="eastAsia" w:ascii="仿宋" w:hAnsi="仿宋" w:eastAsia="仿宋"/>
                <w:szCs w:val="21"/>
              </w:rPr>
            </w:pPr>
            <w:r>
              <w:rPr>
                <w:rFonts w:hint="eastAsia" w:ascii="仿宋" w:hAnsi="仿宋" w:eastAsia="仿宋" w:cs="仿宋"/>
                <w:color w:val="000000"/>
                <w:kern w:val="0"/>
                <w:szCs w:val="21"/>
              </w:rPr>
              <w:t>《电机及拖动基础（上册、下册）》（第5版），张晓江、顾绳谷编，机械工业出版社</w:t>
            </w:r>
          </w:p>
        </w:tc>
      </w:tr>
    </w:tbl>
    <w:p w14:paraId="74A385A9">
      <w:pPr>
        <w:numPr>
          <w:ilvl w:val="0"/>
          <w:numId w:val="0"/>
        </w:numPr>
        <w:rPr>
          <w:rFonts w:hint="eastAsia" w:ascii="仿宋" w:hAnsi="仿宋" w:eastAsia="仿宋"/>
          <w:sz w:val="28"/>
          <w:szCs w:val="28"/>
        </w:rPr>
      </w:pPr>
      <w:r>
        <w:rPr>
          <w:rFonts w:hint="eastAsia" w:ascii="仿宋" w:hAnsi="仿宋" w:eastAsia="仿宋"/>
          <w:sz w:val="28"/>
          <w:szCs w:val="28"/>
          <w:lang w:val="en-US" w:eastAsia="zh-CN"/>
        </w:rPr>
        <w:t xml:space="preserve">    加试科目考试成绩不计入总成绩，但考试结果有不合格者（低于60分）不予录取。</w:t>
      </w:r>
    </w:p>
    <w:p w14:paraId="3C8D8A2A">
      <w:pPr>
        <w:ind w:firstLine="562" w:firstLineChars="200"/>
        <w:rPr>
          <w:rFonts w:hint="eastAsia" w:ascii="仿宋" w:hAnsi="仿宋" w:eastAsia="仿宋"/>
          <w:b/>
          <w:bCs/>
          <w:sz w:val="28"/>
          <w:szCs w:val="28"/>
        </w:rPr>
      </w:pPr>
      <w:r>
        <w:rPr>
          <w:rFonts w:hint="eastAsia" w:ascii="仿宋" w:hAnsi="仿宋" w:eastAsia="仿宋"/>
          <w:b/>
          <w:bCs/>
          <w:sz w:val="28"/>
          <w:szCs w:val="28"/>
        </w:rPr>
        <w:t xml:space="preserve">（四）复试思想政治品德考核 </w:t>
      </w:r>
    </w:p>
    <w:p w14:paraId="123712F9">
      <w:pPr>
        <w:ind w:firstLine="560" w:firstLineChars="200"/>
        <w:rPr>
          <w:rFonts w:hint="eastAsia" w:ascii="仿宋" w:hAnsi="仿宋" w:eastAsia="仿宋"/>
          <w:sz w:val="28"/>
          <w:szCs w:val="28"/>
        </w:rPr>
      </w:pPr>
      <w:r>
        <w:rPr>
          <w:rFonts w:hint="eastAsia" w:ascii="仿宋" w:hAnsi="仿宋" w:eastAsia="仿宋"/>
          <w:sz w:val="28"/>
          <w:szCs w:val="28"/>
        </w:rPr>
        <w:t>思想政治品德考核工作在复试中进行，思想政治品德考核不计入总成绩，但考核结果不合格者不予录取。</w:t>
      </w:r>
    </w:p>
    <w:p w14:paraId="0C902924">
      <w:pPr>
        <w:ind w:firstLine="562" w:firstLineChars="200"/>
        <w:rPr>
          <w:rFonts w:hint="eastAsia" w:ascii="仿宋" w:hAnsi="仿宋" w:eastAsia="仿宋"/>
          <w:b/>
          <w:bCs/>
          <w:sz w:val="28"/>
          <w:szCs w:val="28"/>
        </w:rPr>
      </w:pPr>
      <w:r>
        <w:rPr>
          <w:rFonts w:hint="eastAsia" w:ascii="仿宋" w:hAnsi="仿宋" w:eastAsia="仿宋"/>
          <w:b/>
          <w:bCs/>
          <w:sz w:val="28"/>
          <w:szCs w:val="28"/>
        </w:rPr>
        <w:t>（五）复试资格审查</w:t>
      </w:r>
    </w:p>
    <w:p w14:paraId="3F5C79FD">
      <w:pPr>
        <w:ind w:firstLine="560" w:firstLineChars="200"/>
        <w:rPr>
          <w:rFonts w:hint="eastAsia" w:ascii="仿宋" w:hAnsi="仿宋" w:eastAsia="仿宋"/>
          <w:sz w:val="28"/>
          <w:szCs w:val="28"/>
        </w:rPr>
      </w:pPr>
      <w:r>
        <w:rPr>
          <w:rFonts w:hint="eastAsia" w:ascii="仿宋" w:hAnsi="仿宋" w:eastAsia="仿宋"/>
          <w:sz w:val="28"/>
          <w:szCs w:val="28"/>
        </w:rPr>
        <w:t>复试资格审核采用线上预审核和线下审核，学院将指派专人负责对考生复试资格进行审查。</w:t>
      </w:r>
    </w:p>
    <w:p w14:paraId="2D6781F7">
      <w:pPr>
        <w:ind w:firstLine="562" w:firstLineChars="200"/>
        <w:rPr>
          <w:rFonts w:hint="eastAsia" w:ascii="仿宋" w:hAnsi="仿宋" w:eastAsia="仿宋"/>
          <w:sz w:val="28"/>
          <w:szCs w:val="28"/>
        </w:rPr>
      </w:pPr>
      <w:r>
        <w:rPr>
          <w:rFonts w:hint="eastAsia" w:ascii="仿宋" w:hAnsi="仿宋" w:eastAsia="仿宋"/>
          <w:b/>
          <w:bCs/>
          <w:sz w:val="28"/>
          <w:szCs w:val="28"/>
        </w:rPr>
        <w:t>资格审核时间：</w:t>
      </w:r>
    </w:p>
    <w:p w14:paraId="50C31806">
      <w:pPr>
        <w:ind w:firstLine="560" w:firstLineChars="20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线上预审核：2025年3月21日17:00前，</w:t>
      </w:r>
      <w:r>
        <w:rPr>
          <w:rFonts w:hint="eastAsia" w:ascii="仿宋" w:hAnsi="仿宋" w:eastAsia="仿宋"/>
          <w:sz w:val="28"/>
          <w:szCs w:val="28"/>
          <w:lang w:val="en-US" w:eastAsia="zh-CN"/>
        </w:rPr>
        <w:t>考生</w:t>
      </w:r>
      <w:r>
        <w:rPr>
          <w:rFonts w:hint="eastAsia" w:ascii="仿宋" w:hAnsi="仿宋" w:eastAsia="仿宋"/>
          <w:sz w:val="28"/>
          <w:szCs w:val="28"/>
        </w:rPr>
        <w:t>将以下材料的扫描件按序整理成一个PDF文件，并命名为“报考专业+考号+姓名”，</w:t>
      </w:r>
      <w:r>
        <w:fldChar w:fldCharType="begin"/>
      </w:r>
      <w:r>
        <w:instrText xml:space="preserve"> HYPERLINK "mailto:以电子邮件方式发至397954086@qq.com" </w:instrText>
      </w:r>
      <w:r>
        <w:fldChar w:fldCharType="separate"/>
      </w:r>
      <w:r>
        <w:rPr>
          <w:rFonts w:hint="eastAsia" w:ascii="仿宋" w:hAnsi="仿宋" w:eastAsia="仿宋"/>
          <w:sz w:val="28"/>
          <w:szCs w:val="28"/>
        </w:rPr>
        <w:t>以电子邮件方式发至397954086@qq.com</w:t>
      </w:r>
      <w:r>
        <w:rPr>
          <w:rFonts w:hint="eastAsia" w:ascii="仿宋" w:hAnsi="仿宋" w:eastAsia="仿宋"/>
          <w:sz w:val="28"/>
          <w:szCs w:val="28"/>
        </w:rPr>
        <w:fldChar w:fldCharType="end"/>
      </w:r>
      <w:r>
        <w:rPr>
          <w:rFonts w:hint="eastAsia" w:ascii="仿宋" w:hAnsi="仿宋" w:eastAsia="仿宋"/>
          <w:sz w:val="28"/>
          <w:szCs w:val="28"/>
        </w:rPr>
        <w:t>。</w:t>
      </w:r>
    </w:p>
    <w:p w14:paraId="5F3FF548">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线</w:t>
      </w:r>
      <w:r>
        <w:rPr>
          <w:rFonts w:hint="eastAsia" w:ascii="仿宋" w:hAnsi="仿宋" w:eastAsia="仿宋"/>
          <w:sz w:val="28"/>
          <w:szCs w:val="28"/>
          <w:lang w:val="en-US" w:eastAsia="zh-CN"/>
        </w:rPr>
        <w:t>下</w:t>
      </w:r>
      <w:r>
        <w:rPr>
          <w:rFonts w:hint="eastAsia" w:ascii="仿宋" w:hAnsi="仿宋" w:eastAsia="仿宋"/>
          <w:sz w:val="28"/>
          <w:szCs w:val="28"/>
        </w:rPr>
        <w:t>审核：2025年3月23日8:30-11:00，</w:t>
      </w:r>
      <w:r>
        <w:rPr>
          <w:rFonts w:hint="eastAsia" w:ascii="仿宋" w:hAnsi="仿宋" w:eastAsia="仿宋"/>
          <w:sz w:val="28"/>
          <w:szCs w:val="28"/>
          <w:lang w:val="en-US" w:eastAsia="zh-CN"/>
        </w:rPr>
        <w:t>考生</w:t>
      </w:r>
      <w:r>
        <w:rPr>
          <w:rFonts w:hint="eastAsia" w:ascii="仿宋" w:hAnsi="仿宋" w:eastAsia="仿宋"/>
          <w:sz w:val="28"/>
          <w:szCs w:val="28"/>
        </w:rPr>
        <w:t>携带以下材料至</w:t>
      </w:r>
      <w:r>
        <w:rPr>
          <w:rFonts w:hint="eastAsia" w:ascii="仿宋" w:hAnsi="仿宋" w:eastAsia="仿宋"/>
          <w:sz w:val="28"/>
          <w:szCs w:val="28"/>
          <w:lang w:val="en-US" w:eastAsia="zh-CN"/>
        </w:rPr>
        <w:t>常州工学院思勉楼B区602室进行现场审核</w:t>
      </w:r>
      <w:r>
        <w:rPr>
          <w:rFonts w:hint="eastAsia" w:ascii="仿宋" w:hAnsi="仿宋" w:eastAsia="仿宋"/>
          <w:sz w:val="28"/>
          <w:szCs w:val="28"/>
        </w:rPr>
        <w:t>。</w:t>
      </w:r>
    </w:p>
    <w:p w14:paraId="6D7A9D58">
      <w:pPr>
        <w:ind w:firstLine="562" w:firstLineChars="200"/>
        <w:rPr>
          <w:rFonts w:hint="eastAsia" w:ascii="仿宋" w:hAnsi="仿宋" w:eastAsia="仿宋"/>
          <w:sz w:val="28"/>
          <w:szCs w:val="28"/>
        </w:rPr>
      </w:pPr>
      <w:r>
        <w:rPr>
          <w:rFonts w:hint="eastAsia" w:ascii="仿宋" w:hAnsi="仿宋" w:eastAsia="仿宋"/>
          <w:b/>
          <w:bCs/>
          <w:sz w:val="28"/>
          <w:szCs w:val="28"/>
          <w:lang w:val="en-US" w:eastAsia="zh-CN"/>
        </w:rPr>
        <w:t>资格审核材料：</w:t>
      </w:r>
    </w:p>
    <w:p w14:paraId="745F986E">
      <w:pPr>
        <w:ind w:firstLine="560" w:firstLineChars="200"/>
        <w:rPr>
          <w:rFonts w:hint="eastAsia" w:ascii="仿宋" w:hAnsi="仿宋" w:eastAsia="仿宋"/>
          <w:sz w:val="28"/>
          <w:szCs w:val="28"/>
        </w:rPr>
      </w:pPr>
      <w:r>
        <w:rPr>
          <w:rFonts w:hint="eastAsia" w:ascii="仿宋" w:hAnsi="仿宋" w:eastAsia="仿宋"/>
          <w:sz w:val="28"/>
          <w:szCs w:val="28"/>
        </w:rPr>
        <w:t>1.考生的准考证和有效居民身份证；</w:t>
      </w:r>
    </w:p>
    <w:p w14:paraId="0A5A98B7">
      <w:pPr>
        <w:ind w:firstLine="560" w:firstLineChars="200"/>
        <w:rPr>
          <w:rFonts w:hint="eastAsia" w:ascii="仿宋" w:hAnsi="仿宋" w:eastAsia="仿宋"/>
          <w:sz w:val="28"/>
          <w:szCs w:val="28"/>
        </w:rPr>
      </w:pPr>
      <w:r>
        <w:rPr>
          <w:rFonts w:hint="eastAsia" w:ascii="仿宋" w:hAnsi="仿宋" w:eastAsia="仿宋"/>
          <w:sz w:val="28"/>
          <w:szCs w:val="28"/>
        </w:rPr>
        <w:t>2.国家承认学历的应届本科毕业生（含普通高校、成人高校、普通高校举办的成人高等学历教育应届本科毕业）的学生证；</w:t>
      </w:r>
    </w:p>
    <w:p w14:paraId="23F4E164">
      <w:pPr>
        <w:ind w:firstLine="560" w:firstLineChars="200"/>
        <w:rPr>
          <w:rFonts w:hint="eastAsia" w:ascii="仿宋" w:hAnsi="仿宋" w:eastAsia="仿宋"/>
          <w:sz w:val="28"/>
          <w:szCs w:val="28"/>
        </w:rPr>
      </w:pPr>
      <w:r>
        <w:rPr>
          <w:rFonts w:hint="eastAsia" w:ascii="仿宋" w:hAnsi="仿宋" w:eastAsia="仿宋"/>
          <w:sz w:val="28"/>
          <w:szCs w:val="28"/>
        </w:rPr>
        <w:t>3.往届生的学历学位证书和教育部学历证书电子注册备案表（或学历认证报告）；</w:t>
      </w:r>
    </w:p>
    <w:p w14:paraId="31DE9FE8">
      <w:pPr>
        <w:ind w:firstLine="560" w:firstLineChars="200"/>
        <w:rPr>
          <w:rFonts w:hint="eastAsia" w:ascii="仿宋" w:hAnsi="仿宋" w:eastAsia="仿宋"/>
          <w:sz w:val="28"/>
          <w:szCs w:val="28"/>
        </w:rPr>
      </w:pPr>
      <w:r>
        <w:rPr>
          <w:rFonts w:hint="eastAsia" w:ascii="仿宋" w:hAnsi="仿宋" w:eastAsia="仿宋"/>
          <w:sz w:val="28"/>
          <w:szCs w:val="28"/>
        </w:rPr>
        <w:t>4.在境外获得学历、学位的考生，须提交教育部留学服务中心出具的《国（境）外学历学位认证书》（以应届生身份报考的考生须于入学前取得）；</w:t>
      </w:r>
    </w:p>
    <w:p w14:paraId="735DA930">
      <w:pPr>
        <w:ind w:firstLine="560" w:firstLineChars="200"/>
        <w:rPr>
          <w:rFonts w:hint="eastAsia" w:ascii="仿宋" w:hAnsi="仿宋" w:eastAsia="仿宋"/>
          <w:sz w:val="28"/>
          <w:szCs w:val="28"/>
        </w:rPr>
      </w:pPr>
      <w:r>
        <w:rPr>
          <w:rFonts w:hint="eastAsia" w:ascii="仿宋" w:hAnsi="仿宋" w:eastAsia="仿宋"/>
          <w:sz w:val="28"/>
          <w:szCs w:val="28"/>
        </w:rPr>
        <w:t>5.入学前可取得国家承认本科毕业证书的自学考试和网络教育本科生，须提交颁发毕业证书的省级高等教育自学考试办公室或高校出具的相关证明；</w:t>
      </w:r>
    </w:p>
    <w:p w14:paraId="74D51749">
      <w:pPr>
        <w:ind w:firstLine="560" w:firstLineChars="200"/>
        <w:rPr>
          <w:rFonts w:hint="eastAsia" w:ascii="仿宋" w:hAnsi="仿宋" w:eastAsia="仿宋"/>
          <w:sz w:val="28"/>
          <w:szCs w:val="28"/>
        </w:rPr>
      </w:pPr>
      <w:r>
        <w:rPr>
          <w:rFonts w:hint="eastAsia" w:ascii="仿宋" w:hAnsi="仿宋" w:eastAsia="仿宋"/>
          <w:sz w:val="28"/>
          <w:szCs w:val="28"/>
        </w:rPr>
        <w:t>6.在校学习成绩单（须由考生档案所在单位或就读学校教务部门加盖公章）；</w:t>
      </w:r>
    </w:p>
    <w:p w14:paraId="31DC8E3A">
      <w:pPr>
        <w:ind w:firstLine="560" w:firstLineChars="200"/>
        <w:rPr>
          <w:rFonts w:hint="eastAsia" w:ascii="仿宋" w:hAnsi="仿宋" w:eastAsia="仿宋"/>
          <w:sz w:val="28"/>
          <w:szCs w:val="28"/>
        </w:rPr>
      </w:pPr>
      <w:r>
        <w:rPr>
          <w:rFonts w:hint="eastAsia" w:ascii="仿宋" w:hAnsi="仿宋" w:eastAsia="仿宋"/>
          <w:sz w:val="28"/>
          <w:szCs w:val="28"/>
        </w:rPr>
        <w:t>7.政治思想情况表，该表须由考生人事所在单位基层党组织或人事组织部门填写并签字盖章（应届毕业生由所在院系党组织填写，无学习工作单位的考生由居住地所在街道办事处或居委会的党组织填写）；</w:t>
      </w:r>
    </w:p>
    <w:p w14:paraId="18E5DA0B">
      <w:pPr>
        <w:ind w:firstLine="560" w:firstLineChars="200"/>
        <w:rPr>
          <w:rFonts w:hint="eastAsia" w:ascii="仿宋" w:hAnsi="仿宋" w:eastAsia="仿宋"/>
          <w:sz w:val="28"/>
          <w:szCs w:val="28"/>
        </w:rPr>
      </w:pPr>
      <w:r>
        <w:rPr>
          <w:rFonts w:hint="eastAsia" w:ascii="仿宋" w:hAnsi="仿宋" w:eastAsia="仿宋"/>
          <w:sz w:val="28"/>
          <w:szCs w:val="28"/>
        </w:rPr>
        <w:t>8.《诚信复试承诺书》；</w:t>
      </w:r>
    </w:p>
    <w:p w14:paraId="5C6026C5">
      <w:pPr>
        <w:ind w:firstLine="560" w:firstLineChars="200"/>
        <w:rPr>
          <w:rFonts w:hint="eastAsia" w:ascii="仿宋" w:hAnsi="仿宋" w:eastAsia="仿宋"/>
          <w:sz w:val="28"/>
          <w:szCs w:val="28"/>
        </w:rPr>
      </w:pPr>
      <w:r>
        <w:rPr>
          <w:rFonts w:hint="eastAsia" w:ascii="仿宋" w:hAnsi="仿宋" w:eastAsia="仿宋"/>
          <w:sz w:val="28"/>
          <w:szCs w:val="28"/>
        </w:rPr>
        <w:t>9.其他相关表现证明材料等，如外语能力证明材料（如CET-4、CET-6、雅思、托福成绩单等）；反映其综合素质能力与水平的各类证明材料（包含但不限于创新创业训练项目及学科竞赛、论文、专利等成果和学生工作、社团活动、社会实践等）。</w:t>
      </w:r>
    </w:p>
    <w:p w14:paraId="607D9A85">
      <w:pPr>
        <w:pStyle w:val="14"/>
        <w:widowControl/>
        <w:shd w:val="clear" w:color="auto" w:fill="FFFFFF"/>
        <w:spacing w:beforeAutospacing="0" w:afterAutospacing="0"/>
        <w:ind w:firstLine="556"/>
        <w:jc w:val="both"/>
        <w:rPr>
          <w:rFonts w:hint="eastAsia" w:ascii="仿宋" w:hAnsi="仿宋" w:eastAsia="仿宋" w:cstheme="minorBidi"/>
          <w:kern w:val="2"/>
          <w:sz w:val="28"/>
          <w:szCs w:val="28"/>
        </w:rPr>
      </w:pPr>
      <w:r>
        <w:rPr>
          <w:rFonts w:ascii="仿宋" w:hAnsi="仿宋" w:eastAsia="仿宋" w:cstheme="minorBidi"/>
          <w:kern w:val="2"/>
          <w:sz w:val="28"/>
          <w:szCs w:val="28"/>
        </w:rPr>
        <w:t>未按规定提交材料，或故意隐瞒身份、违反相关规定，或提交虚假材料的，取消复试资格。如录取后发现，则取消入学资格或开除学籍。</w:t>
      </w:r>
    </w:p>
    <w:p w14:paraId="08236DCF">
      <w:pPr>
        <w:ind w:firstLine="562" w:firstLineChars="200"/>
        <w:rPr>
          <w:rFonts w:hint="eastAsia" w:ascii="仿宋" w:hAnsi="仿宋" w:eastAsia="仿宋"/>
          <w:b/>
          <w:bCs/>
          <w:sz w:val="28"/>
          <w:szCs w:val="28"/>
        </w:rPr>
      </w:pPr>
      <w:r>
        <w:rPr>
          <w:rFonts w:hint="eastAsia" w:ascii="仿宋" w:hAnsi="仿宋" w:eastAsia="仿宋"/>
          <w:b/>
          <w:bCs/>
          <w:sz w:val="28"/>
          <w:szCs w:val="28"/>
        </w:rPr>
        <w:t>（六）复试收费</w:t>
      </w:r>
    </w:p>
    <w:p w14:paraId="3B43A26B">
      <w:pPr>
        <w:ind w:firstLine="560" w:firstLineChars="200"/>
        <w:rPr>
          <w:rFonts w:hint="eastAsia" w:ascii="仿宋" w:hAnsi="仿宋" w:eastAsia="仿宋"/>
          <w:sz w:val="28"/>
          <w:szCs w:val="28"/>
          <w:lang w:val="en-US" w:eastAsia="zh-CN"/>
        </w:rPr>
      </w:pPr>
      <w:r>
        <w:rPr>
          <w:rFonts w:hint="eastAsia" w:ascii="仿宋" w:hAnsi="仿宋" w:eastAsia="仿宋"/>
          <w:sz w:val="28"/>
          <w:szCs w:val="28"/>
        </w:rPr>
        <w:t>复试费为80元/人。考生</w:t>
      </w:r>
      <w:r>
        <w:rPr>
          <w:rFonts w:hint="eastAsia" w:ascii="仿宋" w:hAnsi="仿宋" w:eastAsia="仿宋"/>
          <w:sz w:val="28"/>
          <w:szCs w:val="28"/>
          <w:lang w:val="en-US" w:eastAsia="zh-CN"/>
        </w:rPr>
        <w:t>在复试报到现场扫码支付。</w:t>
      </w:r>
    </w:p>
    <w:p w14:paraId="1D467981">
      <w:pPr>
        <w:ind w:firstLine="560" w:firstLineChars="200"/>
        <w:rPr>
          <w:rFonts w:hint="eastAsia" w:ascii="黑体" w:hAnsi="黑体" w:eastAsia="黑体" w:cs="黑体"/>
          <w:sz w:val="28"/>
          <w:szCs w:val="28"/>
        </w:rPr>
      </w:pPr>
    </w:p>
    <w:p w14:paraId="344B8EC9">
      <w:pPr>
        <w:ind w:firstLine="560" w:firstLineChars="200"/>
        <w:rPr>
          <w:rFonts w:hint="eastAsia" w:ascii="黑体" w:hAnsi="黑体" w:eastAsia="黑体" w:cs="黑体"/>
          <w:sz w:val="28"/>
          <w:szCs w:val="28"/>
        </w:rPr>
      </w:pPr>
      <w:r>
        <w:rPr>
          <w:rFonts w:hint="eastAsia" w:ascii="黑体" w:hAnsi="黑体" w:eastAsia="黑体" w:cs="黑体"/>
          <w:sz w:val="28"/>
          <w:szCs w:val="28"/>
        </w:rPr>
        <w:t>五、调剂</w:t>
      </w:r>
    </w:p>
    <w:p w14:paraId="51B17216">
      <w:pPr>
        <w:ind w:firstLine="562" w:firstLineChars="200"/>
        <w:rPr>
          <w:rFonts w:hint="eastAsia" w:ascii="仿宋" w:hAnsi="仿宋" w:eastAsia="仿宋"/>
          <w:b/>
          <w:bCs/>
          <w:sz w:val="28"/>
          <w:szCs w:val="28"/>
        </w:rPr>
      </w:pPr>
      <w:r>
        <w:rPr>
          <w:rFonts w:hint="eastAsia" w:ascii="仿宋" w:hAnsi="仿宋" w:eastAsia="仿宋"/>
          <w:b/>
          <w:bCs/>
          <w:sz w:val="28"/>
          <w:szCs w:val="28"/>
        </w:rPr>
        <w:t>（一）调剂考核形式</w:t>
      </w:r>
    </w:p>
    <w:p w14:paraId="1F729142">
      <w:pPr>
        <w:ind w:firstLine="560" w:firstLineChars="200"/>
        <w:rPr>
          <w:rFonts w:hint="eastAsia" w:ascii="仿宋" w:hAnsi="仿宋" w:eastAsia="仿宋"/>
          <w:sz w:val="28"/>
          <w:szCs w:val="28"/>
        </w:rPr>
      </w:pPr>
      <w:r>
        <w:rPr>
          <w:rFonts w:hint="eastAsia" w:ascii="仿宋" w:hAnsi="仿宋" w:eastAsia="仿宋"/>
          <w:sz w:val="28"/>
          <w:szCs w:val="28"/>
        </w:rPr>
        <w:t>2025年学校各专业调剂考核均参照第一志愿复试执行。</w:t>
      </w:r>
    </w:p>
    <w:p w14:paraId="093B4D99">
      <w:pPr>
        <w:ind w:firstLine="562" w:firstLineChars="200"/>
        <w:rPr>
          <w:rFonts w:hint="eastAsia" w:ascii="仿宋" w:hAnsi="仿宋" w:eastAsia="仿宋"/>
          <w:b/>
          <w:bCs/>
          <w:sz w:val="28"/>
          <w:szCs w:val="28"/>
        </w:rPr>
      </w:pPr>
      <w:r>
        <w:rPr>
          <w:rFonts w:hint="eastAsia" w:ascii="仿宋" w:hAnsi="仿宋" w:eastAsia="仿宋"/>
          <w:b/>
          <w:bCs/>
          <w:sz w:val="28"/>
          <w:szCs w:val="28"/>
        </w:rPr>
        <w:t>（二）调剂基本条件</w:t>
      </w:r>
    </w:p>
    <w:p w14:paraId="431C9809">
      <w:pPr>
        <w:ind w:firstLine="560" w:firstLineChars="200"/>
        <w:rPr>
          <w:rFonts w:hint="eastAsia" w:ascii="仿宋" w:hAnsi="仿宋" w:eastAsia="仿宋"/>
          <w:sz w:val="28"/>
          <w:szCs w:val="28"/>
        </w:rPr>
      </w:pPr>
      <w:r>
        <w:rPr>
          <w:rFonts w:hint="eastAsia" w:ascii="仿宋" w:hAnsi="仿宋" w:eastAsia="仿宋"/>
          <w:sz w:val="28"/>
          <w:szCs w:val="28"/>
        </w:rPr>
        <w:t>1.调剂考生须符合调入专业的报考条件；</w:t>
      </w:r>
    </w:p>
    <w:p w14:paraId="3B01669D">
      <w:pPr>
        <w:ind w:firstLine="560" w:firstLineChars="200"/>
        <w:rPr>
          <w:rFonts w:hint="eastAsia" w:ascii="仿宋" w:hAnsi="仿宋" w:eastAsia="仿宋"/>
          <w:sz w:val="28"/>
          <w:szCs w:val="28"/>
        </w:rPr>
      </w:pPr>
      <w:r>
        <w:rPr>
          <w:rFonts w:hint="eastAsia" w:ascii="仿宋" w:hAnsi="仿宋" w:eastAsia="仿宋"/>
          <w:sz w:val="28"/>
          <w:szCs w:val="28"/>
        </w:rPr>
        <w:t>2.初试成绩须符合第一志愿报考专业在调入地区的全国初试成绩基本要求；</w:t>
      </w:r>
    </w:p>
    <w:p w14:paraId="66B4F832">
      <w:pPr>
        <w:ind w:firstLine="560" w:firstLineChars="200"/>
        <w:rPr>
          <w:rFonts w:hint="eastAsia" w:ascii="仿宋" w:hAnsi="仿宋" w:eastAsia="仿宋"/>
          <w:sz w:val="28"/>
          <w:szCs w:val="28"/>
        </w:rPr>
      </w:pPr>
      <w:r>
        <w:rPr>
          <w:rFonts w:hint="eastAsia" w:ascii="仿宋" w:hAnsi="仿宋" w:eastAsia="仿宋"/>
          <w:sz w:val="28"/>
          <w:szCs w:val="28"/>
        </w:rPr>
        <w:t>3.原则上，调剂考生第一志愿专业与调入专业相同相近，或初试科目与调入专业初试科目相同相近。</w:t>
      </w:r>
    </w:p>
    <w:p w14:paraId="5368806B">
      <w:pPr>
        <w:ind w:firstLine="562" w:firstLineChars="200"/>
        <w:rPr>
          <w:rFonts w:hint="eastAsia" w:ascii="仿宋" w:hAnsi="仿宋" w:eastAsia="仿宋"/>
          <w:b/>
          <w:bCs/>
          <w:sz w:val="28"/>
          <w:szCs w:val="28"/>
        </w:rPr>
      </w:pPr>
      <w:r>
        <w:rPr>
          <w:rFonts w:hint="eastAsia" w:ascii="仿宋" w:hAnsi="仿宋" w:eastAsia="仿宋"/>
          <w:b/>
          <w:bCs/>
          <w:sz w:val="28"/>
          <w:szCs w:val="28"/>
        </w:rPr>
        <w:t>（三）调剂流程</w:t>
      </w:r>
    </w:p>
    <w:p w14:paraId="6B1366FB">
      <w:pPr>
        <w:ind w:firstLine="560" w:firstLineChars="200"/>
        <w:rPr>
          <w:rFonts w:hint="eastAsia" w:ascii="仿宋" w:hAnsi="仿宋" w:eastAsia="仿宋"/>
          <w:sz w:val="28"/>
          <w:szCs w:val="28"/>
        </w:rPr>
      </w:pPr>
      <w:r>
        <w:rPr>
          <w:rFonts w:hint="eastAsia" w:ascii="仿宋" w:hAnsi="仿宋" w:eastAsia="仿宋"/>
          <w:sz w:val="28"/>
          <w:szCs w:val="28"/>
        </w:rPr>
        <w:t>1.调剂考生均须通过教育部指定的“全国硕士生招生调剂服务系统”进行报名，未通过该系统调剂录取的考生一律无效；</w:t>
      </w:r>
    </w:p>
    <w:p w14:paraId="5C835BE3">
      <w:pPr>
        <w:ind w:firstLine="560" w:firstLineChars="200"/>
        <w:rPr>
          <w:rFonts w:hint="eastAsia" w:ascii="仿宋" w:hAnsi="仿宋" w:eastAsia="仿宋"/>
          <w:sz w:val="28"/>
          <w:szCs w:val="28"/>
        </w:rPr>
      </w:pPr>
      <w:r>
        <w:rPr>
          <w:rFonts w:hint="eastAsia" w:ascii="仿宋" w:hAnsi="仿宋" w:eastAsia="仿宋"/>
          <w:sz w:val="28"/>
          <w:szCs w:val="28"/>
        </w:rPr>
        <w:t>2.调剂到本专业的考生复试成绩与本专业一志愿复试合格考生分别排序；</w:t>
      </w:r>
    </w:p>
    <w:p w14:paraId="7964FF9D">
      <w:pPr>
        <w:ind w:firstLine="560" w:firstLineChars="200"/>
        <w:rPr>
          <w:rFonts w:hint="eastAsia" w:ascii="仿宋" w:hAnsi="仿宋" w:eastAsia="仿宋"/>
          <w:sz w:val="28"/>
          <w:szCs w:val="28"/>
        </w:rPr>
      </w:pPr>
      <w:r>
        <w:rPr>
          <w:rFonts w:hint="eastAsia" w:ascii="仿宋" w:hAnsi="仿宋" w:eastAsia="仿宋"/>
          <w:sz w:val="28"/>
          <w:szCs w:val="28"/>
        </w:rPr>
        <w:t>3.收到我校“待录取”通知的调剂考生，请及时登录研招网确认“待录取”，确认录取后不得更改。</w:t>
      </w:r>
    </w:p>
    <w:p w14:paraId="32AF1496">
      <w:pPr>
        <w:ind w:firstLine="562" w:firstLineChars="200"/>
        <w:rPr>
          <w:rFonts w:hint="eastAsia" w:ascii="仿宋" w:hAnsi="仿宋" w:eastAsia="仿宋"/>
          <w:b/>
          <w:bCs/>
          <w:sz w:val="28"/>
          <w:szCs w:val="28"/>
        </w:rPr>
      </w:pPr>
      <w:r>
        <w:rPr>
          <w:rFonts w:hint="eastAsia" w:ascii="仿宋" w:hAnsi="仿宋" w:eastAsia="仿宋"/>
          <w:b/>
          <w:bCs/>
          <w:sz w:val="28"/>
          <w:szCs w:val="28"/>
        </w:rPr>
        <w:t>（四）调剂具体要求</w:t>
      </w:r>
    </w:p>
    <w:p w14:paraId="01B57D5C">
      <w:pPr>
        <w:ind w:firstLine="560" w:firstLineChars="200"/>
        <w:rPr>
          <w:rFonts w:hint="eastAsia" w:ascii="仿宋" w:hAnsi="仿宋" w:eastAsia="仿宋"/>
          <w:sz w:val="28"/>
          <w:szCs w:val="28"/>
        </w:rPr>
      </w:pPr>
      <w:r>
        <w:rPr>
          <w:rFonts w:hint="eastAsia" w:ascii="仿宋" w:hAnsi="仿宋" w:eastAsia="仿宋"/>
          <w:sz w:val="28"/>
          <w:szCs w:val="28"/>
        </w:rPr>
        <w:t>1.一志愿合格生源不足的专业启动调剂程序时，需提前在网上公布调剂办法。明确调剂缺额、调剂要求、报名时间、调剂流程等。其中调剂要求须与本单位复试办法中的要求相符，每次调剂系统开放报名持续时间不得少于12小时。</w:t>
      </w:r>
    </w:p>
    <w:p w14:paraId="1CD8DD21">
      <w:pPr>
        <w:ind w:firstLine="560" w:firstLineChars="200"/>
        <w:rPr>
          <w:rFonts w:hint="eastAsia" w:ascii="仿宋" w:hAnsi="仿宋" w:eastAsia="仿宋"/>
          <w:sz w:val="28"/>
          <w:szCs w:val="28"/>
        </w:rPr>
      </w:pPr>
      <w:r>
        <w:rPr>
          <w:rFonts w:hint="eastAsia" w:ascii="仿宋" w:hAnsi="仿宋" w:eastAsia="仿宋"/>
          <w:sz w:val="28"/>
          <w:szCs w:val="28"/>
        </w:rPr>
        <w:t>2.学院对调剂考生进行复试资格审核，资格审核根据调剂办法中调剂要求进行，资格审查不合格者不予调剂。</w:t>
      </w:r>
    </w:p>
    <w:p w14:paraId="7C45FFF9">
      <w:pPr>
        <w:ind w:firstLine="560" w:firstLineChars="200"/>
        <w:rPr>
          <w:rFonts w:hint="eastAsia" w:ascii="仿宋" w:hAnsi="仿宋" w:eastAsia="仿宋"/>
          <w:sz w:val="28"/>
          <w:szCs w:val="28"/>
        </w:rPr>
      </w:pPr>
      <w:r>
        <w:rPr>
          <w:rFonts w:hint="eastAsia" w:ascii="仿宋" w:hAnsi="仿宋" w:eastAsia="仿宋"/>
          <w:sz w:val="28"/>
          <w:szCs w:val="28"/>
        </w:rPr>
        <w:t>3.调剂复试内容和要求与一志愿考生复试一致。</w:t>
      </w:r>
    </w:p>
    <w:p w14:paraId="345CDD6E">
      <w:pPr>
        <w:ind w:firstLine="560" w:firstLineChars="200"/>
        <w:rPr>
          <w:rFonts w:hint="eastAsia" w:ascii="黑体" w:hAnsi="黑体" w:eastAsia="黑体" w:cs="黑体"/>
          <w:sz w:val="28"/>
          <w:szCs w:val="28"/>
        </w:rPr>
      </w:pPr>
      <w:r>
        <w:rPr>
          <w:rFonts w:hint="eastAsia" w:ascii="黑体" w:hAnsi="黑体" w:eastAsia="黑体" w:cs="黑体"/>
          <w:sz w:val="28"/>
          <w:szCs w:val="28"/>
        </w:rPr>
        <w:t>六、体检</w:t>
      </w:r>
    </w:p>
    <w:p w14:paraId="4B5E812D">
      <w:pPr>
        <w:ind w:firstLine="560" w:firstLineChars="200"/>
        <w:rPr>
          <w:rFonts w:hint="eastAsia" w:ascii="仿宋" w:hAnsi="仿宋" w:eastAsia="仿宋"/>
          <w:sz w:val="28"/>
          <w:szCs w:val="28"/>
        </w:rPr>
      </w:pPr>
      <w:r>
        <w:rPr>
          <w:rFonts w:hint="eastAsia" w:ascii="仿宋" w:hAnsi="仿宋" w:eastAsia="仿宋"/>
          <w:sz w:val="28"/>
          <w:szCs w:val="28"/>
        </w:rPr>
        <w:t>我校2025年硕士研究生招生考试体检与新生入学体检合并，依据《常州工学院2025年硕士研究生招生复试录取办法》中相关规定执行。</w:t>
      </w:r>
    </w:p>
    <w:p w14:paraId="5BC42DAE">
      <w:pPr>
        <w:ind w:firstLine="560" w:firstLineChars="200"/>
        <w:rPr>
          <w:rFonts w:hint="eastAsia" w:ascii="黑体" w:hAnsi="黑体" w:eastAsia="黑体" w:cs="黑体"/>
          <w:sz w:val="28"/>
          <w:szCs w:val="28"/>
        </w:rPr>
      </w:pPr>
      <w:r>
        <w:rPr>
          <w:rFonts w:hint="eastAsia" w:ascii="黑体" w:hAnsi="黑体" w:eastAsia="黑体" w:cs="黑体"/>
          <w:sz w:val="28"/>
          <w:szCs w:val="28"/>
        </w:rPr>
        <w:t>七、录取</w:t>
      </w:r>
    </w:p>
    <w:p w14:paraId="1019593C">
      <w:pPr>
        <w:ind w:firstLine="562" w:firstLineChars="200"/>
        <w:rPr>
          <w:rFonts w:hint="eastAsia" w:ascii="仿宋" w:hAnsi="仿宋" w:eastAsia="仿宋"/>
          <w:b/>
          <w:bCs/>
          <w:sz w:val="28"/>
          <w:szCs w:val="28"/>
        </w:rPr>
      </w:pPr>
      <w:r>
        <w:rPr>
          <w:rFonts w:hint="eastAsia" w:ascii="仿宋" w:hAnsi="仿宋" w:eastAsia="仿宋"/>
          <w:b/>
          <w:bCs/>
          <w:sz w:val="28"/>
          <w:szCs w:val="28"/>
        </w:rPr>
        <w:t>（一）入学总成绩计算</w:t>
      </w:r>
    </w:p>
    <w:p w14:paraId="3781114A">
      <w:pPr>
        <w:ind w:firstLine="560" w:firstLineChars="200"/>
        <w:rPr>
          <w:rFonts w:hint="eastAsia" w:ascii="仿宋" w:hAnsi="仿宋" w:eastAsia="仿宋"/>
          <w:sz w:val="28"/>
          <w:szCs w:val="28"/>
        </w:rPr>
      </w:pPr>
      <w:r>
        <w:rPr>
          <w:rFonts w:hint="eastAsia" w:ascii="仿宋" w:hAnsi="仿宋" w:eastAsia="仿宋"/>
          <w:sz w:val="28"/>
          <w:szCs w:val="28"/>
        </w:rPr>
        <w:t>研究生入学总成绩实行百分制，保留2位小数，并按照初试总成绩占60%、复试总成绩（百分制）占40%计算。具体计算方法如下：</w:t>
      </w:r>
    </w:p>
    <w:p w14:paraId="6D810A17">
      <w:pPr>
        <w:ind w:firstLine="560" w:firstLineChars="200"/>
        <w:rPr>
          <w:rFonts w:hint="eastAsia" w:ascii="仿宋" w:hAnsi="仿宋" w:eastAsia="仿宋"/>
          <w:sz w:val="28"/>
          <w:szCs w:val="28"/>
        </w:rPr>
      </w:pPr>
      <w:r>
        <w:rPr>
          <w:rFonts w:hint="eastAsia" w:ascii="仿宋" w:hAnsi="仿宋" w:eastAsia="仿宋"/>
          <w:sz w:val="28"/>
          <w:szCs w:val="28"/>
        </w:rPr>
        <w:t>入学考试总成绩=初试总成绩（折合成100分制）×60%+复试总成绩（折合成100分制）×40%（成绩按照四舍五入原则，精确到小数点后两位）。</w:t>
      </w:r>
    </w:p>
    <w:p w14:paraId="0A6CF5C4">
      <w:pPr>
        <w:ind w:firstLine="562" w:firstLineChars="200"/>
        <w:rPr>
          <w:rFonts w:hint="eastAsia" w:ascii="仿宋" w:hAnsi="仿宋" w:eastAsia="仿宋"/>
          <w:b/>
          <w:bCs/>
          <w:sz w:val="28"/>
          <w:szCs w:val="28"/>
        </w:rPr>
      </w:pPr>
      <w:r>
        <w:rPr>
          <w:rFonts w:hint="eastAsia" w:ascii="仿宋" w:hAnsi="仿宋" w:eastAsia="仿宋"/>
          <w:b/>
          <w:bCs/>
          <w:sz w:val="28"/>
          <w:szCs w:val="28"/>
        </w:rPr>
        <w:t>（二）录取程序</w:t>
      </w:r>
    </w:p>
    <w:p w14:paraId="2B7596D9">
      <w:pPr>
        <w:ind w:firstLine="560" w:firstLineChars="200"/>
        <w:rPr>
          <w:rFonts w:hint="eastAsia" w:ascii="仿宋" w:hAnsi="仿宋" w:eastAsia="仿宋"/>
          <w:sz w:val="28"/>
          <w:szCs w:val="28"/>
        </w:rPr>
      </w:pPr>
      <w:r>
        <w:rPr>
          <w:rFonts w:hint="eastAsia" w:ascii="仿宋" w:hAnsi="仿宋" w:eastAsia="仿宋"/>
          <w:sz w:val="28"/>
          <w:szCs w:val="28"/>
        </w:rPr>
        <w:t>依据《常州工学院2025年硕士研究生招生复试录取办法》中相关规定执行。</w:t>
      </w:r>
    </w:p>
    <w:p w14:paraId="3AECDA92">
      <w:pPr>
        <w:pStyle w:val="14"/>
        <w:widowControl/>
        <w:shd w:val="clear" w:color="auto" w:fill="FFFFFF"/>
        <w:spacing w:beforeAutospacing="0" w:afterAutospacing="0" w:line="315" w:lineRule="atLeast"/>
        <w:ind w:firstLine="555"/>
        <w:rPr>
          <w:rFonts w:hint="eastAsia" w:ascii="黑体" w:hAnsi="黑体" w:eastAsia="黑体" w:cs="黑体"/>
          <w:sz w:val="28"/>
          <w:szCs w:val="28"/>
        </w:rPr>
      </w:pPr>
      <w:r>
        <w:rPr>
          <w:rFonts w:hint="eastAsia" w:ascii="黑体" w:hAnsi="黑体" w:eastAsia="黑体" w:cs="黑体"/>
          <w:sz w:val="28"/>
          <w:szCs w:val="28"/>
          <w:lang w:val="en-US" w:eastAsia="zh-CN" w:bidi="ar"/>
        </w:rPr>
        <w:t>八</w:t>
      </w:r>
      <w:r>
        <w:rPr>
          <w:rFonts w:hint="eastAsia" w:ascii="黑体" w:hAnsi="黑体" w:eastAsia="黑体" w:cs="黑体"/>
          <w:sz w:val="28"/>
          <w:szCs w:val="28"/>
          <w:lang w:bidi="ar"/>
        </w:rPr>
        <w:t>、</w:t>
      </w:r>
      <w:r>
        <w:rPr>
          <w:rFonts w:hint="eastAsia" w:ascii="黑体" w:hAnsi="黑体" w:eastAsia="黑体" w:cs="黑体"/>
          <w:sz w:val="28"/>
          <w:szCs w:val="28"/>
        </w:rPr>
        <w:t>其它事项说明</w:t>
      </w:r>
    </w:p>
    <w:p w14:paraId="082B940E">
      <w:pPr>
        <w:pStyle w:val="14"/>
        <w:widowControl/>
        <w:shd w:val="clear" w:color="auto" w:fill="FFFFFF"/>
        <w:spacing w:beforeAutospacing="0" w:afterAutospacing="0" w:line="315" w:lineRule="atLeast"/>
        <w:ind w:firstLine="560" w:firstLineChars="200"/>
        <w:rPr>
          <w:rFonts w:hint="eastAsia" w:ascii="仿宋" w:hAnsi="仿宋" w:eastAsia="仿宋" w:cstheme="minorBidi"/>
          <w:kern w:val="2"/>
          <w:sz w:val="28"/>
          <w:szCs w:val="28"/>
        </w:rPr>
      </w:pPr>
      <w:r>
        <w:rPr>
          <w:rFonts w:hint="eastAsia" w:ascii="仿宋" w:hAnsi="仿宋" w:eastAsia="仿宋" w:cstheme="minorBidi"/>
          <w:kern w:val="2"/>
          <w:sz w:val="28"/>
          <w:szCs w:val="28"/>
        </w:rPr>
        <w:t>1.本细则的解释权归属电气信息工程学院</w:t>
      </w:r>
      <w:r>
        <w:rPr>
          <w:rFonts w:hint="eastAsia" w:ascii="仿宋" w:hAnsi="仿宋" w:eastAsia="仿宋"/>
          <w:sz w:val="28"/>
          <w:szCs w:val="28"/>
        </w:rPr>
        <w:t>研究生招生工作领导小组。</w:t>
      </w:r>
    </w:p>
    <w:p w14:paraId="315FF482">
      <w:pPr>
        <w:pStyle w:val="14"/>
        <w:widowControl/>
        <w:shd w:val="clear" w:color="auto" w:fill="FFFFFF"/>
        <w:spacing w:beforeAutospacing="0" w:afterAutospacing="0" w:line="315" w:lineRule="atLeast"/>
        <w:ind w:firstLine="555"/>
        <w:rPr>
          <w:rFonts w:hint="eastAsia" w:ascii="仿宋" w:hAnsi="仿宋" w:eastAsia="仿宋" w:cstheme="minorBidi"/>
          <w:kern w:val="2"/>
          <w:sz w:val="28"/>
          <w:szCs w:val="28"/>
        </w:rPr>
      </w:pPr>
      <w:r>
        <w:rPr>
          <w:rFonts w:hint="eastAsia" w:ascii="仿宋" w:hAnsi="仿宋" w:eastAsia="仿宋" w:cstheme="minorBidi"/>
          <w:kern w:val="2"/>
          <w:sz w:val="28"/>
          <w:szCs w:val="28"/>
        </w:rPr>
        <w:t>2.本细则内容若与学校文件冲突，以学校文件为准。</w:t>
      </w:r>
    </w:p>
    <w:p w14:paraId="1C438146">
      <w:pPr>
        <w:pStyle w:val="14"/>
        <w:widowControl/>
        <w:shd w:val="clear" w:color="auto" w:fill="FFFFFF"/>
        <w:spacing w:beforeAutospacing="0" w:afterAutospacing="0" w:line="315" w:lineRule="atLeast"/>
        <w:ind w:firstLine="555"/>
        <w:rPr>
          <w:rFonts w:hint="eastAsia" w:ascii="黑体" w:hAnsi="黑体" w:eastAsia="黑体" w:cs="黑体"/>
          <w:sz w:val="28"/>
          <w:szCs w:val="28"/>
        </w:rPr>
      </w:pPr>
      <w:r>
        <w:rPr>
          <w:rFonts w:hint="eastAsia" w:ascii="仿宋" w:hAnsi="仿宋" w:eastAsia="仿宋" w:cstheme="minorBidi"/>
          <w:kern w:val="2"/>
          <w:sz w:val="28"/>
          <w:szCs w:val="28"/>
        </w:rPr>
        <w:t>3.其他未尽事宜，请及时查阅学校研究生处及学院官网。</w:t>
      </w:r>
    </w:p>
    <w:p w14:paraId="53E384C5">
      <w:pPr>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九</w:t>
      </w:r>
      <w:r>
        <w:rPr>
          <w:rFonts w:hint="eastAsia" w:ascii="黑体" w:hAnsi="黑体" w:eastAsia="黑体" w:cs="黑体"/>
          <w:sz w:val="28"/>
          <w:szCs w:val="28"/>
        </w:rPr>
        <w:t>、联系方式</w:t>
      </w:r>
    </w:p>
    <w:p w14:paraId="5BCCFF15">
      <w:pPr>
        <w:pStyle w:val="14"/>
        <w:widowControl/>
        <w:shd w:val="clear" w:color="auto" w:fill="FFFFFF"/>
        <w:spacing w:beforeAutospacing="0" w:afterAutospacing="0" w:line="315" w:lineRule="atLeast"/>
        <w:ind w:firstLine="560" w:firstLineChars="200"/>
        <w:rPr>
          <w:rFonts w:hint="eastAsia" w:ascii="仿宋" w:hAnsi="仿宋" w:eastAsia="仿宋" w:cstheme="minorBidi"/>
          <w:kern w:val="2"/>
          <w:sz w:val="28"/>
          <w:szCs w:val="28"/>
        </w:rPr>
      </w:pPr>
      <w:r>
        <w:rPr>
          <w:rFonts w:hint="eastAsia" w:ascii="仿宋" w:hAnsi="仿宋" w:eastAsia="仿宋" w:cstheme="minorBidi"/>
          <w:kern w:val="2"/>
          <w:sz w:val="28"/>
          <w:szCs w:val="28"/>
        </w:rPr>
        <w:t>学院研究生复试录取工作联系人：袁老师，0519-88510343。</w:t>
      </w:r>
    </w:p>
    <w:p w14:paraId="51B3A394">
      <w:pPr>
        <w:pStyle w:val="14"/>
        <w:widowControl/>
        <w:shd w:val="clear" w:color="auto" w:fill="FFFFFF"/>
        <w:spacing w:beforeAutospacing="0" w:afterAutospacing="0" w:line="315" w:lineRule="atLeast"/>
        <w:ind w:firstLine="560" w:firstLineChars="200"/>
        <w:rPr>
          <w:rFonts w:hint="eastAsia" w:ascii="仿宋" w:hAnsi="仿宋" w:eastAsia="仿宋" w:cstheme="minorBidi"/>
          <w:kern w:val="2"/>
          <w:sz w:val="28"/>
          <w:szCs w:val="28"/>
        </w:rPr>
      </w:pPr>
      <w:r>
        <w:rPr>
          <w:rFonts w:hint="eastAsia" w:ascii="仿宋" w:hAnsi="仿宋" w:eastAsia="仿宋" w:cstheme="minorBidi"/>
          <w:kern w:val="2"/>
          <w:sz w:val="28"/>
          <w:szCs w:val="28"/>
        </w:rPr>
        <w:t>学院监督与投诉电话：李老师，0519-88510341。</w:t>
      </w:r>
    </w:p>
    <w:p w14:paraId="560AEA14">
      <w:pPr>
        <w:pStyle w:val="14"/>
        <w:widowControl/>
        <w:shd w:val="clear" w:color="auto" w:fill="FFFFFF"/>
        <w:spacing w:beforeAutospacing="0" w:afterAutospacing="0" w:line="315" w:lineRule="atLeast"/>
        <w:ind w:firstLine="5880" w:firstLineChars="2100"/>
        <w:rPr>
          <w:rFonts w:hint="eastAsia" w:ascii="仿宋" w:hAnsi="仿宋" w:eastAsia="仿宋" w:cstheme="minorBidi"/>
          <w:kern w:val="2"/>
          <w:sz w:val="28"/>
          <w:szCs w:val="28"/>
        </w:rPr>
      </w:pPr>
      <w:r>
        <w:rPr>
          <w:rFonts w:hint="eastAsia" w:ascii="仿宋" w:hAnsi="仿宋" w:eastAsia="仿宋" w:cstheme="minorBidi"/>
          <w:kern w:val="2"/>
          <w:sz w:val="28"/>
          <w:szCs w:val="28"/>
        </w:rPr>
        <w:t>电气信息工程学院</w:t>
      </w:r>
    </w:p>
    <w:p w14:paraId="4CB0397F">
      <w:pPr>
        <w:pStyle w:val="14"/>
        <w:widowControl/>
        <w:shd w:val="clear" w:color="auto" w:fill="FFFFFF"/>
        <w:spacing w:beforeAutospacing="0" w:afterAutospacing="0" w:line="315" w:lineRule="atLeast"/>
        <w:ind w:firstLine="560" w:firstLineChars="200"/>
        <w:rPr>
          <w:rFonts w:hint="eastAsia" w:ascii="仿宋" w:hAnsi="仿宋" w:eastAsia="仿宋" w:cstheme="minorBidi"/>
          <w:kern w:val="2"/>
          <w:sz w:val="28"/>
          <w:szCs w:val="28"/>
        </w:rPr>
      </w:pPr>
      <w:r>
        <w:rPr>
          <w:rFonts w:hint="eastAsia" w:ascii="仿宋" w:hAnsi="仿宋" w:eastAsia="仿宋" w:cstheme="minorBidi"/>
          <w:kern w:val="2"/>
          <w:sz w:val="28"/>
          <w:szCs w:val="28"/>
        </w:rPr>
        <w:t xml:space="preserve">                                       2025年3月1</w:t>
      </w:r>
      <w:r>
        <w:rPr>
          <w:rFonts w:hint="eastAsia" w:ascii="仿宋" w:hAnsi="仿宋" w:eastAsia="仿宋" w:cstheme="minorBidi"/>
          <w:kern w:val="2"/>
          <w:sz w:val="28"/>
          <w:szCs w:val="28"/>
          <w:lang w:val="en-US" w:eastAsia="zh-CN"/>
        </w:rPr>
        <w:t>9</w:t>
      </w:r>
      <w:r>
        <w:rPr>
          <w:rFonts w:hint="eastAsia" w:ascii="仿宋" w:hAnsi="仿宋" w:eastAsia="仿宋" w:cstheme="minorBidi"/>
          <w:kern w:val="2"/>
          <w:sz w:val="28"/>
          <w:szCs w:val="28"/>
        </w:rPr>
        <w:t>日</w:t>
      </w:r>
    </w:p>
    <w:p w14:paraId="670E7A8B">
      <w:pPr>
        <w:widowControl/>
        <w:jc w:val="left"/>
        <w:rPr>
          <w:rFonts w:ascii="Times New Roman" w:hAnsi="Times New Roman" w:eastAsia="宋体" w:cs="Times New Roman"/>
          <w:sz w:val="24"/>
        </w:rPr>
      </w:pPr>
      <w:r>
        <w:rPr>
          <w:rFonts w:ascii="Times New Roman" w:hAnsi="Times New Roman" w:eastAsia="宋体" w:cs="Times New Roman"/>
          <w:sz w:val="24"/>
        </w:rPr>
        <w:br w:type="page"/>
      </w:r>
    </w:p>
    <w:p w14:paraId="410A927F">
      <w:pPr>
        <w:spacing w:before="156" w:beforeLines="50" w:after="156" w:afterLines="50" w:line="360" w:lineRule="auto"/>
        <w:ind w:firstLine="480" w:firstLineChars="200"/>
        <w:jc w:val="right"/>
        <w:rPr>
          <w:rFonts w:ascii="Times New Roman" w:hAnsi="Times New Roman" w:eastAsia="宋体" w:cs="Times New Roman"/>
          <w:sz w:val="24"/>
        </w:rPr>
      </w:pPr>
    </w:p>
    <w:p w14:paraId="0FF2315A">
      <w:pPr>
        <w:jc w:val="center"/>
        <w:rPr>
          <w:rFonts w:hint="eastAsia" w:ascii="宋体" w:hAnsi="宋体" w:eastAsia="宋体"/>
          <w:b/>
          <w:sz w:val="44"/>
        </w:rPr>
      </w:pPr>
      <w:r>
        <w:rPr>
          <w:rFonts w:ascii="宋体" w:hAnsi="宋体" w:eastAsia="宋体"/>
          <w:b/>
          <w:sz w:val="44"/>
        </w:rPr>
        <w:t>诚信复试承诺书</w:t>
      </w:r>
    </w:p>
    <w:p w14:paraId="0E637E69">
      <w:pPr>
        <w:spacing w:before="156" w:beforeLines="50" w:line="560" w:lineRule="exact"/>
        <w:ind w:firstLine="640" w:firstLineChars="200"/>
        <w:rPr>
          <w:rFonts w:hint="eastAsia" w:ascii="仿宋" w:hAnsi="仿宋" w:eastAsia="仿宋"/>
          <w:sz w:val="32"/>
        </w:rPr>
      </w:pPr>
      <w:r>
        <w:rPr>
          <w:rFonts w:ascii="仿宋" w:hAnsi="仿宋" w:eastAsia="仿宋"/>
          <w:sz w:val="32"/>
        </w:rPr>
        <w:t>我是参加202</w:t>
      </w:r>
      <w:r>
        <w:rPr>
          <w:rFonts w:hint="eastAsia" w:ascii="仿宋" w:hAnsi="仿宋" w:eastAsia="仿宋"/>
          <w:sz w:val="32"/>
        </w:rPr>
        <w:t>5</w:t>
      </w:r>
      <w:r>
        <w:rPr>
          <w:rFonts w:ascii="仿宋" w:hAnsi="仿宋" w:eastAsia="仿宋"/>
          <w:sz w:val="32"/>
        </w:rPr>
        <w:t>年全国硕士研究生招生复试的考生，在此我郑重承诺：</w:t>
      </w:r>
    </w:p>
    <w:p w14:paraId="0714355C">
      <w:pPr>
        <w:spacing w:line="560" w:lineRule="exact"/>
        <w:ind w:firstLine="640" w:firstLineChars="200"/>
        <w:rPr>
          <w:rFonts w:hint="eastAsia" w:ascii="仿宋" w:hAnsi="仿宋" w:eastAsia="仿宋"/>
          <w:sz w:val="32"/>
        </w:rPr>
      </w:pPr>
      <w:r>
        <w:rPr>
          <w:rFonts w:ascii="仿宋" w:hAnsi="仿宋" w:eastAsia="仿宋"/>
          <w:sz w:val="32"/>
        </w:rPr>
        <w:t>1.我已清楚了解</w:t>
      </w:r>
      <w:r>
        <w:rPr>
          <w:rFonts w:hint="eastAsia" w:ascii="仿宋" w:hAnsi="仿宋" w:eastAsia="仿宋"/>
          <w:sz w:val="32"/>
        </w:rPr>
        <w:t>常州工学院硕士</w:t>
      </w:r>
      <w:r>
        <w:rPr>
          <w:rFonts w:ascii="仿宋" w:hAnsi="仿宋" w:eastAsia="仿宋"/>
          <w:sz w:val="32"/>
        </w:rPr>
        <w:t>研究生招生复试的相关规定和要求，并承诺严格执行。</w:t>
      </w:r>
    </w:p>
    <w:p w14:paraId="61D96979">
      <w:pPr>
        <w:spacing w:line="560" w:lineRule="exact"/>
        <w:ind w:firstLine="640" w:firstLineChars="200"/>
        <w:rPr>
          <w:rFonts w:hint="eastAsia" w:ascii="仿宋" w:hAnsi="仿宋" w:eastAsia="仿宋"/>
          <w:sz w:val="32"/>
        </w:rPr>
      </w:pPr>
      <w:r>
        <w:rPr>
          <w:rFonts w:ascii="仿宋" w:hAnsi="仿宋" w:eastAsia="仿宋"/>
          <w:sz w:val="32"/>
        </w:rPr>
        <w:t>2.我已清楚了解，根据《中华人民共和国刑法修正案（九）》，代替他人或者让他人代替自己参加考试的行为都将触犯刑法。</w:t>
      </w:r>
    </w:p>
    <w:p w14:paraId="40D5F6EC">
      <w:pPr>
        <w:spacing w:line="560" w:lineRule="exact"/>
        <w:ind w:firstLine="640" w:firstLineChars="200"/>
        <w:rPr>
          <w:rFonts w:hint="eastAsia" w:ascii="仿宋" w:hAnsi="仿宋" w:eastAsia="仿宋"/>
          <w:sz w:val="32"/>
        </w:rPr>
      </w:pPr>
      <w:r>
        <w:rPr>
          <w:rFonts w:ascii="仿宋" w:hAnsi="仿宋" w:eastAsia="仿宋"/>
          <w:sz w:val="32"/>
        </w:rPr>
        <w:t>3.我已清楚了解，在复试过程中如有违规行为，将按照《国家教育考试违规处理办法》《普通高等学校招生违规行为处理暂行办法》等规定进行严肃处理，取消录取资格，记入《考生考试诚信档案》。</w:t>
      </w:r>
    </w:p>
    <w:p w14:paraId="48054483">
      <w:pPr>
        <w:spacing w:line="560" w:lineRule="exact"/>
        <w:ind w:firstLine="640" w:firstLineChars="200"/>
        <w:rPr>
          <w:rFonts w:hint="eastAsia" w:ascii="仿宋" w:hAnsi="仿宋" w:eastAsia="仿宋"/>
          <w:sz w:val="32"/>
        </w:rPr>
      </w:pPr>
      <w:r>
        <w:rPr>
          <w:rFonts w:ascii="仿宋" w:hAnsi="仿宋" w:eastAsia="仿宋"/>
          <w:sz w:val="32"/>
        </w:rPr>
        <w:t>4.我承诺提交的复试资格审核材料真实有效。如存在弄虚作假行为，取消录取资格。</w:t>
      </w:r>
    </w:p>
    <w:p w14:paraId="5FA1E8EF">
      <w:pPr>
        <w:spacing w:line="560" w:lineRule="exact"/>
        <w:ind w:firstLine="640" w:firstLineChars="200"/>
        <w:rPr>
          <w:rFonts w:hint="eastAsia" w:ascii="仿宋" w:hAnsi="仿宋" w:eastAsia="仿宋"/>
          <w:sz w:val="32"/>
        </w:rPr>
      </w:pPr>
      <w:r>
        <w:rPr>
          <w:rFonts w:ascii="仿宋" w:hAnsi="仿宋" w:eastAsia="仿宋"/>
          <w:sz w:val="32"/>
        </w:rPr>
        <w:t>5.我承诺复试过程中，没有其他人员进行协助，一经发现，取消复试成绩。</w:t>
      </w:r>
    </w:p>
    <w:p w14:paraId="6C31E205">
      <w:pPr>
        <w:spacing w:line="560" w:lineRule="exact"/>
        <w:ind w:firstLine="640" w:firstLineChars="200"/>
        <w:rPr>
          <w:rFonts w:hint="eastAsia" w:ascii="仿宋" w:hAnsi="仿宋" w:eastAsia="仿宋"/>
          <w:sz w:val="32"/>
        </w:rPr>
      </w:pPr>
      <w:r>
        <w:rPr>
          <w:rFonts w:ascii="仿宋" w:hAnsi="仿宋" w:eastAsia="仿宋"/>
          <w:sz w:val="32"/>
        </w:rPr>
        <w:t>6.</w:t>
      </w:r>
      <w:r>
        <w:rPr>
          <w:rFonts w:hint="eastAsia" w:ascii="仿宋" w:hAnsi="仿宋" w:eastAsia="仿宋"/>
          <w:sz w:val="32"/>
        </w:rPr>
        <w:t>我承诺复试完成后，不将复试内容向其他考生透露或在网络传播，一经发现，取消复试成绩。</w:t>
      </w:r>
    </w:p>
    <w:p w14:paraId="7DB50B47">
      <w:pPr>
        <w:spacing w:line="560" w:lineRule="exact"/>
        <w:rPr>
          <w:rFonts w:hint="eastAsia" w:ascii="仿宋" w:hAnsi="仿宋" w:eastAsia="仿宋"/>
          <w:sz w:val="32"/>
        </w:rPr>
      </w:pPr>
    </w:p>
    <w:p w14:paraId="69657CC3">
      <w:pPr>
        <w:spacing w:line="560" w:lineRule="exact"/>
        <w:ind w:right="1280"/>
        <w:rPr>
          <w:rFonts w:hint="eastAsia" w:ascii="仿宋" w:hAnsi="仿宋" w:eastAsia="仿宋"/>
          <w:sz w:val="32"/>
        </w:rPr>
      </w:pPr>
      <w:r>
        <w:rPr>
          <w:rFonts w:ascii="仿宋" w:hAnsi="仿宋" w:eastAsia="仿宋"/>
          <w:sz w:val="32"/>
        </w:rPr>
        <w:t>承</w:t>
      </w:r>
      <w:r>
        <w:rPr>
          <w:rFonts w:hint="eastAsia" w:ascii="仿宋" w:hAnsi="仿宋" w:eastAsia="仿宋"/>
          <w:sz w:val="32"/>
        </w:rPr>
        <w:t xml:space="preserve"> </w:t>
      </w:r>
      <w:r>
        <w:rPr>
          <w:rFonts w:ascii="仿宋" w:hAnsi="仿宋" w:eastAsia="仿宋"/>
          <w:sz w:val="32"/>
        </w:rPr>
        <w:t>诺</w:t>
      </w:r>
      <w:r>
        <w:rPr>
          <w:rFonts w:hint="eastAsia" w:ascii="仿宋" w:hAnsi="仿宋" w:eastAsia="仿宋"/>
          <w:sz w:val="32"/>
        </w:rPr>
        <w:t xml:space="preserve"> </w:t>
      </w:r>
      <w:r>
        <w:rPr>
          <w:rFonts w:ascii="仿宋" w:hAnsi="仿宋" w:eastAsia="仿宋"/>
          <w:sz w:val="32"/>
        </w:rPr>
        <w:t>人：</w:t>
      </w:r>
    </w:p>
    <w:p w14:paraId="234C1358">
      <w:pPr>
        <w:spacing w:line="560" w:lineRule="exact"/>
        <w:ind w:right="1280"/>
        <w:rPr>
          <w:rFonts w:hint="eastAsia" w:ascii="仿宋" w:hAnsi="仿宋" w:eastAsia="仿宋"/>
          <w:sz w:val="32"/>
        </w:rPr>
      </w:pPr>
      <w:r>
        <w:rPr>
          <w:rFonts w:hint="eastAsia" w:ascii="仿宋" w:hAnsi="仿宋" w:eastAsia="仿宋"/>
          <w:sz w:val="32"/>
        </w:rPr>
        <w:t>考生编号：</w:t>
      </w:r>
    </w:p>
    <w:p w14:paraId="6958023D">
      <w:pPr>
        <w:spacing w:line="560" w:lineRule="exact"/>
        <w:jc w:val="right"/>
        <w:rPr>
          <w:rFonts w:hint="eastAsia" w:ascii="仿宋" w:hAnsi="仿宋" w:eastAsia="仿宋"/>
          <w:sz w:val="32"/>
        </w:rPr>
      </w:pPr>
      <w:r>
        <w:rPr>
          <w:rFonts w:ascii="Calibri" w:hAnsi="Calibri" w:eastAsia="仿宋" w:cs="Calibri"/>
          <w:sz w:val="32"/>
        </w:rPr>
        <w:t>                              </w:t>
      </w:r>
      <w:r>
        <w:rPr>
          <w:rFonts w:ascii="仿宋" w:hAnsi="仿宋" w:eastAsia="仿宋"/>
          <w:sz w:val="32"/>
        </w:rPr>
        <w:t>202</w:t>
      </w:r>
      <w:r>
        <w:rPr>
          <w:rFonts w:hint="eastAsia" w:ascii="仿宋" w:hAnsi="仿宋" w:eastAsia="仿宋"/>
          <w:sz w:val="32"/>
        </w:rPr>
        <w:t>5</w:t>
      </w:r>
      <w:r>
        <w:rPr>
          <w:rFonts w:ascii="仿宋" w:hAnsi="仿宋" w:eastAsia="仿宋"/>
          <w:sz w:val="32"/>
        </w:rPr>
        <w:t>年  月  日</w:t>
      </w:r>
    </w:p>
    <w:p w14:paraId="7EF61B77">
      <w:pPr>
        <w:pageBreakBefore/>
        <w:jc w:val="center"/>
        <w:rPr>
          <w:rFonts w:hint="eastAsia" w:ascii="宋体"/>
        </w:rPr>
      </w:pPr>
      <w:r>
        <w:rPr>
          <w:rFonts w:hint="eastAsia" w:ascii="黑体" w:eastAsia="黑体"/>
          <w:sz w:val="32"/>
          <w:szCs w:val="32"/>
        </w:rPr>
        <w:t>常州工学院</w:t>
      </w:r>
      <w:r>
        <w:rPr>
          <w:rFonts w:hint="eastAsia" w:ascii="黑体" w:hAnsi="宋体" w:eastAsia="黑体"/>
          <w:sz w:val="32"/>
          <w:szCs w:val="32"/>
        </w:rPr>
        <w:t>2025年硕士研究生</w:t>
      </w:r>
      <w:r>
        <w:rPr>
          <w:rFonts w:hint="eastAsia" w:ascii="黑体" w:eastAsia="黑体"/>
          <w:sz w:val="32"/>
          <w:szCs w:val="32"/>
        </w:rPr>
        <w:t>政治思想情况表</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050"/>
        <w:gridCol w:w="1035"/>
        <w:gridCol w:w="900"/>
        <w:gridCol w:w="850"/>
        <w:gridCol w:w="1485"/>
        <w:gridCol w:w="795"/>
        <w:gridCol w:w="1809"/>
      </w:tblGrid>
      <w:tr w14:paraId="400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16" w:type="dxa"/>
            <w:vAlign w:val="center"/>
          </w:tcPr>
          <w:p w14:paraId="6E05962A">
            <w:pPr>
              <w:jc w:val="center"/>
              <w:rPr>
                <w:rFonts w:hint="eastAsia" w:ascii="仿宋" w:hAnsi="仿宋" w:eastAsia="仿宋" w:cs="仿宋"/>
                <w:sz w:val="24"/>
              </w:rPr>
            </w:pPr>
            <w:r>
              <w:rPr>
                <w:rFonts w:hint="eastAsia" w:ascii="仿宋" w:hAnsi="仿宋" w:eastAsia="仿宋" w:cs="仿宋"/>
                <w:sz w:val="24"/>
              </w:rPr>
              <w:t>姓名</w:t>
            </w:r>
          </w:p>
        </w:tc>
        <w:tc>
          <w:tcPr>
            <w:tcW w:w="1050" w:type="dxa"/>
            <w:vAlign w:val="center"/>
          </w:tcPr>
          <w:p w14:paraId="2DA1CFD8">
            <w:pPr>
              <w:rPr>
                <w:rFonts w:hint="eastAsia" w:ascii="仿宋" w:hAnsi="仿宋" w:eastAsia="仿宋" w:cs="仿宋"/>
                <w:sz w:val="24"/>
              </w:rPr>
            </w:pPr>
          </w:p>
        </w:tc>
        <w:tc>
          <w:tcPr>
            <w:tcW w:w="1035" w:type="dxa"/>
            <w:vAlign w:val="center"/>
          </w:tcPr>
          <w:p w14:paraId="7A549EBC">
            <w:pPr>
              <w:rPr>
                <w:rFonts w:hint="eastAsia" w:ascii="仿宋" w:hAnsi="仿宋" w:eastAsia="仿宋" w:cs="仿宋"/>
                <w:sz w:val="24"/>
              </w:rPr>
            </w:pPr>
            <w:r>
              <w:rPr>
                <w:rFonts w:hint="eastAsia" w:ascii="仿宋" w:hAnsi="仿宋" w:eastAsia="仿宋" w:cs="仿宋"/>
                <w:sz w:val="24"/>
              </w:rPr>
              <w:t>性别</w:t>
            </w:r>
          </w:p>
        </w:tc>
        <w:tc>
          <w:tcPr>
            <w:tcW w:w="900" w:type="dxa"/>
            <w:vAlign w:val="center"/>
          </w:tcPr>
          <w:p w14:paraId="50AC49F3">
            <w:pPr>
              <w:rPr>
                <w:rFonts w:hint="eastAsia" w:ascii="仿宋" w:hAnsi="仿宋" w:eastAsia="仿宋" w:cs="仿宋"/>
                <w:sz w:val="24"/>
              </w:rPr>
            </w:pPr>
          </w:p>
        </w:tc>
        <w:tc>
          <w:tcPr>
            <w:tcW w:w="850" w:type="dxa"/>
            <w:vAlign w:val="center"/>
          </w:tcPr>
          <w:p w14:paraId="1571908A">
            <w:pPr>
              <w:jc w:val="center"/>
              <w:rPr>
                <w:rFonts w:hint="eastAsia" w:ascii="仿宋" w:hAnsi="仿宋" w:eastAsia="仿宋" w:cs="仿宋"/>
                <w:sz w:val="24"/>
              </w:rPr>
            </w:pPr>
            <w:r>
              <w:rPr>
                <w:rFonts w:hint="eastAsia" w:ascii="仿宋" w:hAnsi="仿宋" w:eastAsia="仿宋" w:cs="仿宋"/>
                <w:sz w:val="24"/>
              </w:rPr>
              <w:t>出生年月</w:t>
            </w:r>
          </w:p>
        </w:tc>
        <w:tc>
          <w:tcPr>
            <w:tcW w:w="1485" w:type="dxa"/>
            <w:vAlign w:val="center"/>
          </w:tcPr>
          <w:p w14:paraId="52ECC3F8">
            <w:pPr>
              <w:jc w:val="center"/>
              <w:rPr>
                <w:rFonts w:hint="eastAsia" w:ascii="仿宋" w:hAnsi="仿宋" w:eastAsia="仿宋" w:cs="仿宋"/>
                <w:sz w:val="24"/>
              </w:rPr>
            </w:pPr>
          </w:p>
        </w:tc>
        <w:tc>
          <w:tcPr>
            <w:tcW w:w="795" w:type="dxa"/>
            <w:vAlign w:val="center"/>
          </w:tcPr>
          <w:p w14:paraId="337BC389">
            <w:pPr>
              <w:jc w:val="center"/>
              <w:rPr>
                <w:rFonts w:hint="eastAsia" w:ascii="仿宋" w:hAnsi="仿宋" w:eastAsia="仿宋" w:cs="仿宋"/>
                <w:sz w:val="24"/>
              </w:rPr>
            </w:pPr>
            <w:r>
              <w:rPr>
                <w:rFonts w:hint="eastAsia" w:ascii="仿宋" w:hAnsi="仿宋" w:eastAsia="仿宋" w:cs="仿宋"/>
                <w:sz w:val="24"/>
              </w:rPr>
              <w:t>政治面貌</w:t>
            </w:r>
          </w:p>
        </w:tc>
        <w:tc>
          <w:tcPr>
            <w:tcW w:w="1809" w:type="dxa"/>
            <w:vAlign w:val="center"/>
          </w:tcPr>
          <w:p w14:paraId="5EA70C80">
            <w:pPr>
              <w:jc w:val="center"/>
              <w:rPr>
                <w:rFonts w:hint="eastAsia" w:ascii="仿宋" w:hAnsi="仿宋" w:eastAsia="仿宋" w:cs="仿宋"/>
                <w:sz w:val="24"/>
              </w:rPr>
            </w:pPr>
          </w:p>
        </w:tc>
      </w:tr>
      <w:tr w14:paraId="1CAE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16" w:type="dxa"/>
            <w:vAlign w:val="center"/>
          </w:tcPr>
          <w:p w14:paraId="38BA3558">
            <w:pPr>
              <w:ind w:firstLine="120" w:firstLineChars="50"/>
              <w:rPr>
                <w:rFonts w:hint="eastAsia" w:ascii="仿宋" w:hAnsi="仿宋" w:eastAsia="仿宋" w:cs="仿宋"/>
                <w:sz w:val="24"/>
              </w:rPr>
            </w:pPr>
            <w:r>
              <w:rPr>
                <w:rFonts w:hint="eastAsia" w:ascii="仿宋" w:hAnsi="仿宋" w:eastAsia="仿宋" w:cs="仿宋"/>
                <w:sz w:val="24"/>
              </w:rPr>
              <w:t>现学习或工作单位</w:t>
            </w:r>
          </w:p>
        </w:tc>
        <w:tc>
          <w:tcPr>
            <w:tcW w:w="3835" w:type="dxa"/>
            <w:gridSpan w:val="4"/>
            <w:vAlign w:val="center"/>
          </w:tcPr>
          <w:p w14:paraId="3368AC9A">
            <w:pPr>
              <w:jc w:val="center"/>
              <w:rPr>
                <w:rFonts w:hint="eastAsia" w:ascii="仿宋" w:hAnsi="仿宋" w:eastAsia="仿宋" w:cs="仿宋"/>
                <w:sz w:val="24"/>
              </w:rPr>
            </w:pPr>
          </w:p>
        </w:tc>
        <w:tc>
          <w:tcPr>
            <w:tcW w:w="1485" w:type="dxa"/>
            <w:vAlign w:val="center"/>
          </w:tcPr>
          <w:p w14:paraId="50569466">
            <w:pPr>
              <w:jc w:val="center"/>
              <w:rPr>
                <w:rFonts w:hint="eastAsia" w:ascii="仿宋" w:hAnsi="仿宋" w:eastAsia="仿宋" w:cs="仿宋"/>
                <w:sz w:val="24"/>
              </w:rPr>
            </w:pPr>
            <w:r>
              <w:rPr>
                <w:rFonts w:hint="eastAsia" w:ascii="仿宋" w:hAnsi="仿宋" w:eastAsia="仿宋" w:cs="仿宋"/>
                <w:sz w:val="24"/>
              </w:rPr>
              <w:t>毕业专业</w:t>
            </w:r>
          </w:p>
        </w:tc>
        <w:tc>
          <w:tcPr>
            <w:tcW w:w="2604" w:type="dxa"/>
            <w:gridSpan w:val="2"/>
            <w:vAlign w:val="center"/>
          </w:tcPr>
          <w:p w14:paraId="7D1A9473">
            <w:pPr>
              <w:jc w:val="center"/>
              <w:rPr>
                <w:rFonts w:hint="eastAsia" w:ascii="仿宋" w:hAnsi="仿宋" w:eastAsia="仿宋" w:cs="仿宋"/>
                <w:sz w:val="24"/>
              </w:rPr>
            </w:pPr>
          </w:p>
        </w:tc>
      </w:tr>
      <w:tr w14:paraId="1B6D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16" w:type="dxa"/>
            <w:vAlign w:val="center"/>
          </w:tcPr>
          <w:p w14:paraId="621A3426">
            <w:pPr>
              <w:ind w:firstLine="120" w:firstLineChars="50"/>
              <w:rPr>
                <w:rFonts w:hint="eastAsia" w:ascii="仿宋" w:hAnsi="仿宋" w:eastAsia="仿宋" w:cs="仿宋"/>
                <w:sz w:val="24"/>
              </w:rPr>
            </w:pPr>
            <w:r>
              <w:rPr>
                <w:rFonts w:hint="eastAsia" w:ascii="仿宋" w:hAnsi="仿宋" w:eastAsia="仿宋" w:cs="仿宋"/>
                <w:sz w:val="24"/>
              </w:rPr>
              <w:t>最后学历</w:t>
            </w:r>
          </w:p>
        </w:tc>
        <w:tc>
          <w:tcPr>
            <w:tcW w:w="3835" w:type="dxa"/>
            <w:gridSpan w:val="4"/>
            <w:vAlign w:val="center"/>
          </w:tcPr>
          <w:p w14:paraId="14F2CAA9">
            <w:pPr>
              <w:jc w:val="center"/>
              <w:rPr>
                <w:rFonts w:hint="eastAsia" w:ascii="仿宋" w:hAnsi="仿宋" w:eastAsia="仿宋" w:cs="仿宋"/>
                <w:sz w:val="24"/>
              </w:rPr>
            </w:pPr>
          </w:p>
        </w:tc>
        <w:tc>
          <w:tcPr>
            <w:tcW w:w="1485" w:type="dxa"/>
            <w:vAlign w:val="center"/>
          </w:tcPr>
          <w:p w14:paraId="3C3B4C7F">
            <w:pPr>
              <w:jc w:val="center"/>
              <w:rPr>
                <w:rFonts w:hint="eastAsia" w:ascii="仿宋" w:hAnsi="仿宋" w:eastAsia="仿宋" w:cs="仿宋"/>
                <w:sz w:val="24"/>
              </w:rPr>
            </w:pPr>
            <w:r>
              <w:rPr>
                <w:rFonts w:hint="eastAsia" w:ascii="仿宋" w:hAnsi="仿宋" w:eastAsia="仿宋" w:cs="仿宋"/>
                <w:sz w:val="24"/>
              </w:rPr>
              <w:t>毕业时间</w:t>
            </w:r>
          </w:p>
        </w:tc>
        <w:tc>
          <w:tcPr>
            <w:tcW w:w="2604" w:type="dxa"/>
            <w:gridSpan w:val="2"/>
            <w:vAlign w:val="center"/>
          </w:tcPr>
          <w:p w14:paraId="5634F9D1">
            <w:pPr>
              <w:jc w:val="center"/>
              <w:rPr>
                <w:rFonts w:hint="eastAsia" w:ascii="仿宋" w:hAnsi="仿宋" w:eastAsia="仿宋" w:cs="仿宋"/>
                <w:sz w:val="24"/>
              </w:rPr>
            </w:pPr>
          </w:p>
        </w:tc>
      </w:tr>
      <w:tr w14:paraId="3D25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316" w:type="dxa"/>
            <w:vAlign w:val="center"/>
          </w:tcPr>
          <w:p w14:paraId="77ABF958">
            <w:pPr>
              <w:rPr>
                <w:rFonts w:hint="eastAsia" w:ascii="仿宋" w:hAnsi="仿宋" w:eastAsia="仿宋" w:cs="仿宋"/>
                <w:sz w:val="24"/>
              </w:rPr>
            </w:pPr>
            <w:r>
              <w:rPr>
                <w:rFonts w:hint="eastAsia" w:ascii="仿宋" w:hAnsi="仿宋" w:eastAsia="仿宋" w:cs="仿宋"/>
                <w:sz w:val="24"/>
              </w:rPr>
              <w:t>何时、何地</w:t>
            </w:r>
          </w:p>
          <w:p w14:paraId="50284A74">
            <w:pPr>
              <w:rPr>
                <w:rFonts w:hint="eastAsia" w:ascii="仿宋" w:hAnsi="仿宋" w:eastAsia="仿宋" w:cs="仿宋"/>
                <w:sz w:val="24"/>
              </w:rPr>
            </w:pPr>
            <w:r>
              <w:rPr>
                <w:rFonts w:hint="eastAsia" w:ascii="仿宋" w:hAnsi="仿宋" w:eastAsia="仿宋" w:cs="仿宋"/>
                <w:sz w:val="24"/>
              </w:rPr>
              <w:t>受过何种</w:t>
            </w:r>
          </w:p>
          <w:p w14:paraId="27903D4F">
            <w:pPr>
              <w:rPr>
                <w:rFonts w:hint="eastAsia" w:ascii="仿宋" w:hAnsi="仿宋" w:eastAsia="仿宋" w:cs="仿宋"/>
                <w:sz w:val="24"/>
              </w:rPr>
            </w:pPr>
            <w:r>
              <w:rPr>
                <w:rFonts w:hint="eastAsia" w:ascii="仿宋" w:hAnsi="仿宋" w:eastAsia="仿宋" w:cs="仿宋"/>
                <w:sz w:val="24"/>
              </w:rPr>
              <w:t>奖励或处分</w:t>
            </w:r>
          </w:p>
        </w:tc>
        <w:tc>
          <w:tcPr>
            <w:tcW w:w="7924" w:type="dxa"/>
            <w:gridSpan w:val="7"/>
          </w:tcPr>
          <w:p w14:paraId="6FBD8048">
            <w:pPr>
              <w:rPr>
                <w:rFonts w:hint="eastAsia" w:ascii="仿宋" w:hAnsi="仿宋" w:eastAsia="仿宋" w:cs="仿宋"/>
                <w:sz w:val="24"/>
              </w:rPr>
            </w:pPr>
          </w:p>
          <w:p w14:paraId="695D5BE9">
            <w:pPr>
              <w:rPr>
                <w:rFonts w:hint="eastAsia" w:ascii="仿宋" w:hAnsi="仿宋" w:eastAsia="仿宋" w:cs="仿宋"/>
                <w:sz w:val="24"/>
              </w:rPr>
            </w:pPr>
          </w:p>
          <w:p w14:paraId="68B743B5">
            <w:pPr>
              <w:rPr>
                <w:rFonts w:hint="eastAsia" w:ascii="仿宋" w:hAnsi="仿宋" w:eastAsia="仿宋" w:cs="仿宋"/>
                <w:sz w:val="24"/>
              </w:rPr>
            </w:pPr>
          </w:p>
          <w:p w14:paraId="0D705785">
            <w:pPr>
              <w:rPr>
                <w:rFonts w:hint="eastAsia" w:ascii="仿宋" w:hAnsi="仿宋" w:eastAsia="仿宋" w:cs="仿宋"/>
                <w:sz w:val="24"/>
              </w:rPr>
            </w:pPr>
          </w:p>
          <w:p w14:paraId="707F140D">
            <w:pPr>
              <w:rPr>
                <w:rFonts w:hint="eastAsia" w:ascii="仿宋" w:hAnsi="仿宋" w:eastAsia="仿宋" w:cs="仿宋"/>
                <w:sz w:val="24"/>
              </w:rPr>
            </w:pPr>
          </w:p>
          <w:p w14:paraId="64B786E3">
            <w:pPr>
              <w:rPr>
                <w:rFonts w:hint="eastAsia" w:ascii="仿宋" w:hAnsi="仿宋" w:eastAsia="仿宋" w:cs="仿宋"/>
                <w:sz w:val="24"/>
              </w:rPr>
            </w:pPr>
          </w:p>
        </w:tc>
      </w:tr>
      <w:tr w14:paraId="69FB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316" w:type="dxa"/>
            <w:vAlign w:val="center"/>
          </w:tcPr>
          <w:p w14:paraId="62EF18B9">
            <w:pPr>
              <w:rPr>
                <w:rFonts w:hint="eastAsia" w:ascii="仿宋" w:hAnsi="仿宋" w:eastAsia="仿宋" w:cs="仿宋"/>
                <w:sz w:val="24"/>
              </w:rPr>
            </w:pPr>
            <w:r>
              <w:rPr>
                <w:rFonts w:hint="eastAsia" w:ascii="仿宋" w:hAnsi="仿宋" w:eastAsia="仿宋" w:cs="仿宋"/>
                <w:sz w:val="24"/>
              </w:rPr>
              <w:t>考生本人自评</w:t>
            </w:r>
          </w:p>
        </w:tc>
        <w:tc>
          <w:tcPr>
            <w:tcW w:w="7924" w:type="dxa"/>
            <w:gridSpan w:val="7"/>
          </w:tcPr>
          <w:p w14:paraId="5DE2CE82">
            <w:pPr>
              <w:rPr>
                <w:rFonts w:hint="eastAsia" w:ascii="仿宋" w:hAnsi="仿宋" w:eastAsia="仿宋" w:cs="仿宋"/>
                <w:sz w:val="24"/>
              </w:rPr>
            </w:pPr>
            <w:r>
              <w:rPr>
                <w:rFonts w:hint="eastAsia" w:ascii="仿宋" w:hAnsi="仿宋" w:eastAsia="仿宋" w:cs="仿宋"/>
                <w:b/>
                <w:bCs/>
                <w:szCs w:val="21"/>
              </w:rPr>
              <w:t>内容包括本人的政治态度、思想表现、道德品质和专业学习等情况（此处请考生本人用黑色笔填写，并签字）</w:t>
            </w:r>
          </w:p>
          <w:p w14:paraId="4F6B8566">
            <w:pPr>
              <w:rPr>
                <w:rFonts w:hint="eastAsia" w:ascii="仿宋" w:hAnsi="仿宋" w:eastAsia="仿宋" w:cs="仿宋"/>
                <w:sz w:val="24"/>
              </w:rPr>
            </w:pPr>
            <w:r>
              <w:rPr>
                <w:rFonts w:hint="eastAsia" w:ascii="仿宋" w:hAnsi="仿宋" w:eastAsia="仿宋" w:cs="仿宋"/>
                <w:sz w:val="24"/>
              </w:rPr>
              <w:t xml:space="preserve">    </w:t>
            </w:r>
          </w:p>
          <w:p w14:paraId="41108EC0">
            <w:pPr>
              <w:rPr>
                <w:rFonts w:hint="eastAsia" w:ascii="仿宋" w:hAnsi="仿宋" w:eastAsia="仿宋" w:cs="仿宋"/>
                <w:sz w:val="24"/>
              </w:rPr>
            </w:pPr>
          </w:p>
          <w:p w14:paraId="65342FBA">
            <w:pPr>
              <w:rPr>
                <w:rFonts w:hint="eastAsia" w:ascii="仿宋" w:hAnsi="仿宋" w:eastAsia="仿宋" w:cs="仿宋"/>
                <w:sz w:val="24"/>
              </w:rPr>
            </w:pPr>
          </w:p>
          <w:p w14:paraId="047FF657">
            <w:pPr>
              <w:rPr>
                <w:rFonts w:hint="eastAsia" w:ascii="仿宋" w:hAnsi="仿宋" w:eastAsia="仿宋" w:cs="仿宋"/>
                <w:sz w:val="24"/>
              </w:rPr>
            </w:pPr>
          </w:p>
          <w:p w14:paraId="7C4FE9BC">
            <w:pPr>
              <w:rPr>
                <w:rFonts w:hint="eastAsia" w:ascii="仿宋" w:hAnsi="仿宋" w:eastAsia="仿宋" w:cs="仿宋"/>
                <w:sz w:val="24"/>
              </w:rPr>
            </w:pPr>
          </w:p>
          <w:p w14:paraId="21C26477">
            <w:pPr>
              <w:rPr>
                <w:rFonts w:hint="eastAsia" w:ascii="仿宋" w:hAnsi="仿宋" w:eastAsia="仿宋" w:cs="仿宋"/>
                <w:sz w:val="24"/>
              </w:rPr>
            </w:pPr>
            <w:r>
              <w:rPr>
                <w:rFonts w:hint="eastAsia" w:ascii="仿宋" w:hAnsi="仿宋" w:eastAsia="仿宋" w:cs="仿宋"/>
                <w:sz w:val="24"/>
              </w:rPr>
              <w:t xml:space="preserve">                                          考生本人签字：</w:t>
            </w:r>
          </w:p>
          <w:p w14:paraId="67494BAA">
            <w:pPr>
              <w:ind w:firstLine="6240" w:firstLineChars="2600"/>
              <w:rPr>
                <w:rFonts w:hint="eastAsia" w:ascii="仿宋" w:hAnsi="仿宋" w:eastAsia="仿宋" w:cs="仿宋"/>
                <w:sz w:val="24"/>
              </w:rPr>
            </w:pPr>
            <w:r>
              <w:rPr>
                <w:rFonts w:hint="eastAsia" w:ascii="仿宋" w:hAnsi="仿宋" w:eastAsia="仿宋" w:cs="仿宋"/>
                <w:sz w:val="24"/>
              </w:rPr>
              <w:t>年   月   日</w:t>
            </w:r>
          </w:p>
          <w:p w14:paraId="368E0B2E">
            <w:pPr>
              <w:rPr>
                <w:rFonts w:hint="eastAsia" w:ascii="仿宋" w:hAnsi="仿宋" w:eastAsia="仿宋" w:cs="仿宋"/>
                <w:sz w:val="24"/>
              </w:rPr>
            </w:pPr>
          </w:p>
        </w:tc>
      </w:tr>
      <w:tr w14:paraId="58EA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316" w:type="dxa"/>
            <w:vAlign w:val="center"/>
          </w:tcPr>
          <w:p w14:paraId="2F56F1D9">
            <w:pPr>
              <w:rPr>
                <w:rFonts w:hint="eastAsia" w:ascii="仿宋" w:hAnsi="仿宋" w:eastAsia="仿宋" w:cs="仿宋"/>
                <w:sz w:val="24"/>
              </w:rPr>
            </w:pPr>
            <w:r>
              <w:rPr>
                <w:rFonts w:hint="eastAsia" w:ascii="仿宋" w:hAnsi="仿宋" w:eastAsia="仿宋" w:cs="仿宋"/>
                <w:sz w:val="24"/>
              </w:rPr>
              <w:t>考生所在单位意见</w:t>
            </w:r>
          </w:p>
        </w:tc>
        <w:tc>
          <w:tcPr>
            <w:tcW w:w="7924" w:type="dxa"/>
            <w:gridSpan w:val="7"/>
          </w:tcPr>
          <w:p w14:paraId="6A4F631A">
            <w:pPr>
              <w:rPr>
                <w:rFonts w:hint="eastAsia" w:ascii="仿宋" w:hAnsi="仿宋" w:eastAsia="仿宋" w:cs="仿宋"/>
                <w:b/>
                <w:bCs/>
                <w:szCs w:val="21"/>
              </w:rPr>
            </w:pPr>
            <w:r>
              <w:rPr>
                <w:rFonts w:hint="eastAsia" w:ascii="仿宋" w:hAnsi="仿宋" w:eastAsia="仿宋" w:cs="仿宋"/>
                <w:b/>
                <w:bCs/>
                <w:szCs w:val="21"/>
              </w:rPr>
              <w:t>内容包括考生的政治态度、思想表现、工作学习态度、道德品质、遵纪守法等情况（此处由单位负责人用黑色笔填写，签字并加盖单位公章）</w:t>
            </w:r>
          </w:p>
          <w:p w14:paraId="11DA4AF3">
            <w:pPr>
              <w:rPr>
                <w:rFonts w:hint="eastAsia" w:ascii="仿宋" w:hAnsi="仿宋" w:eastAsia="仿宋" w:cs="仿宋"/>
                <w:b/>
                <w:bCs/>
                <w:szCs w:val="21"/>
              </w:rPr>
            </w:pPr>
          </w:p>
          <w:p w14:paraId="6B6B31F0">
            <w:pPr>
              <w:rPr>
                <w:rFonts w:hint="eastAsia" w:ascii="仿宋" w:hAnsi="仿宋" w:eastAsia="仿宋" w:cs="仿宋"/>
                <w:sz w:val="24"/>
              </w:rPr>
            </w:pPr>
          </w:p>
          <w:p w14:paraId="61104C7D">
            <w:pPr>
              <w:rPr>
                <w:rFonts w:hint="eastAsia" w:ascii="仿宋" w:hAnsi="仿宋" w:eastAsia="仿宋" w:cs="仿宋"/>
                <w:sz w:val="24"/>
              </w:rPr>
            </w:pPr>
          </w:p>
          <w:p w14:paraId="4817F120">
            <w:pPr>
              <w:rPr>
                <w:rFonts w:hint="eastAsia" w:ascii="仿宋" w:hAnsi="仿宋" w:eastAsia="仿宋" w:cs="仿宋"/>
                <w:sz w:val="24"/>
              </w:rPr>
            </w:pPr>
          </w:p>
          <w:p w14:paraId="37FB7C8B">
            <w:pPr>
              <w:rPr>
                <w:rFonts w:hint="eastAsia" w:ascii="仿宋" w:hAnsi="仿宋" w:eastAsia="仿宋" w:cs="仿宋"/>
                <w:sz w:val="24"/>
              </w:rPr>
            </w:pPr>
          </w:p>
          <w:p w14:paraId="7653A998">
            <w:pPr>
              <w:rPr>
                <w:rFonts w:hint="eastAsia" w:ascii="仿宋" w:hAnsi="仿宋" w:eastAsia="仿宋" w:cs="仿宋"/>
                <w:sz w:val="24"/>
              </w:rPr>
            </w:pPr>
            <w:r>
              <w:rPr>
                <w:rFonts w:hint="eastAsia" w:ascii="仿宋" w:hAnsi="仿宋" w:eastAsia="仿宋" w:cs="仿宋"/>
                <w:sz w:val="24"/>
              </w:rPr>
              <w:t xml:space="preserve">                         </w:t>
            </w:r>
          </w:p>
          <w:p w14:paraId="629BE867">
            <w:pPr>
              <w:rPr>
                <w:rFonts w:hint="eastAsia" w:ascii="仿宋" w:hAnsi="仿宋" w:eastAsia="仿宋" w:cs="仿宋"/>
                <w:sz w:val="24"/>
              </w:rPr>
            </w:pPr>
            <w:r>
              <w:rPr>
                <w:rFonts w:hint="eastAsia" w:ascii="仿宋" w:hAnsi="仿宋" w:eastAsia="仿宋" w:cs="仿宋"/>
                <w:sz w:val="24"/>
              </w:rPr>
              <w:t xml:space="preserve">     经办人签名：                          盖章</w:t>
            </w:r>
          </w:p>
          <w:p w14:paraId="1F3D47AF">
            <w:pPr>
              <w:ind w:firstLine="6240" w:firstLineChars="2600"/>
              <w:rPr>
                <w:rFonts w:hint="eastAsia" w:ascii="仿宋" w:hAnsi="仿宋" w:eastAsia="仿宋" w:cs="仿宋"/>
                <w:sz w:val="24"/>
              </w:rPr>
            </w:pPr>
            <w:r>
              <w:rPr>
                <w:rFonts w:hint="eastAsia" w:ascii="仿宋" w:hAnsi="仿宋" w:eastAsia="仿宋" w:cs="仿宋"/>
                <w:sz w:val="24"/>
              </w:rPr>
              <w:t>年   月   日</w:t>
            </w:r>
          </w:p>
        </w:tc>
      </w:tr>
      <w:tr w14:paraId="0549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316" w:type="dxa"/>
            <w:vAlign w:val="center"/>
          </w:tcPr>
          <w:p w14:paraId="10CD0324">
            <w:pPr>
              <w:rPr>
                <w:rFonts w:hint="eastAsia" w:ascii="仿宋" w:hAnsi="仿宋" w:eastAsia="仿宋" w:cs="仿宋"/>
                <w:sz w:val="24"/>
              </w:rPr>
            </w:pPr>
            <w:r>
              <w:rPr>
                <w:rFonts w:hint="eastAsia" w:ascii="仿宋" w:hAnsi="仿宋" w:eastAsia="仿宋" w:cs="仿宋"/>
                <w:sz w:val="24"/>
              </w:rPr>
              <w:t>招生单位考核意见</w:t>
            </w:r>
          </w:p>
        </w:tc>
        <w:tc>
          <w:tcPr>
            <w:tcW w:w="7924" w:type="dxa"/>
            <w:gridSpan w:val="7"/>
          </w:tcPr>
          <w:p w14:paraId="271DDEE5">
            <w:pPr>
              <w:ind w:firstLine="6240" w:firstLineChars="2600"/>
              <w:rPr>
                <w:rFonts w:hint="eastAsia" w:ascii="仿宋" w:hAnsi="仿宋" w:eastAsia="仿宋" w:cs="仿宋"/>
                <w:sz w:val="24"/>
              </w:rPr>
            </w:pPr>
          </w:p>
          <w:p w14:paraId="469CC5B5">
            <w:pPr>
              <w:ind w:firstLine="6240" w:firstLineChars="2600"/>
              <w:rPr>
                <w:rFonts w:hint="eastAsia" w:ascii="仿宋" w:hAnsi="仿宋" w:eastAsia="仿宋" w:cs="仿宋"/>
                <w:sz w:val="24"/>
              </w:rPr>
            </w:pPr>
          </w:p>
          <w:p w14:paraId="0ADCCF31">
            <w:pPr>
              <w:ind w:firstLine="6240" w:firstLineChars="2600"/>
              <w:rPr>
                <w:rFonts w:hint="eastAsia" w:ascii="仿宋" w:hAnsi="仿宋" w:eastAsia="仿宋" w:cs="仿宋"/>
                <w:sz w:val="24"/>
              </w:rPr>
            </w:pPr>
          </w:p>
          <w:p w14:paraId="0EEF3866">
            <w:pPr>
              <w:ind w:firstLine="6240" w:firstLineChars="2600"/>
              <w:rPr>
                <w:rFonts w:hint="eastAsia" w:ascii="仿宋" w:hAnsi="仿宋" w:eastAsia="仿宋" w:cs="仿宋"/>
                <w:sz w:val="24"/>
              </w:rPr>
            </w:pPr>
          </w:p>
          <w:p w14:paraId="1B736FD6">
            <w:pPr>
              <w:ind w:firstLine="5040" w:firstLineChars="2100"/>
              <w:rPr>
                <w:rFonts w:hint="eastAsia" w:ascii="仿宋" w:hAnsi="仿宋" w:eastAsia="仿宋" w:cs="仿宋"/>
                <w:sz w:val="24"/>
              </w:rPr>
            </w:pPr>
            <w:r>
              <w:rPr>
                <w:rFonts w:hint="eastAsia" w:ascii="仿宋" w:hAnsi="仿宋" w:eastAsia="仿宋" w:cs="仿宋"/>
                <w:sz w:val="24"/>
              </w:rPr>
              <w:t>盖章</w:t>
            </w:r>
          </w:p>
          <w:p w14:paraId="37C93533">
            <w:pPr>
              <w:ind w:firstLine="6240" w:firstLineChars="2600"/>
              <w:rPr>
                <w:rFonts w:hint="eastAsia" w:ascii="仿宋" w:hAnsi="仿宋" w:eastAsia="仿宋" w:cs="仿宋"/>
                <w:sz w:val="24"/>
              </w:rPr>
            </w:pPr>
            <w:r>
              <w:rPr>
                <w:rFonts w:hint="eastAsia" w:ascii="仿宋" w:hAnsi="仿宋" w:eastAsia="仿宋" w:cs="仿宋"/>
                <w:sz w:val="24"/>
              </w:rPr>
              <w:t>年   月   日</w:t>
            </w:r>
          </w:p>
        </w:tc>
      </w:tr>
    </w:tbl>
    <w:p w14:paraId="4C1280D9">
      <w:pPr>
        <w:rPr>
          <w:rFonts w:hint="eastAsia" w:ascii="宋体"/>
        </w:rPr>
      </w:pPr>
      <w:r>
        <w:rPr>
          <w:rFonts w:hint="eastAsia" w:ascii="宋体"/>
        </w:rPr>
        <w:t>说明：1.应届毕业考生由所在院系党组织填写“单位意见”并加盖公章；</w:t>
      </w:r>
    </w:p>
    <w:p w14:paraId="57DCB22C">
      <w:pPr>
        <w:ind w:left="630" w:leftChars="300"/>
        <w:rPr>
          <w:rFonts w:hint="eastAsia" w:ascii="宋体"/>
        </w:rPr>
      </w:pPr>
      <w:r>
        <w:rPr>
          <w:rFonts w:hint="eastAsia" w:ascii="宋体"/>
        </w:rPr>
        <w:t>2.非应届毕业考生由考生人事所在单位基层党组织或人事组织部门填写，无工作单位由常住地或户籍所在地村委或居委会等部门填写“单位意见”并加盖公章；</w:t>
      </w:r>
    </w:p>
    <w:p w14:paraId="4B298836">
      <w:pPr>
        <w:ind w:firstLine="630" w:firstLineChars="300"/>
        <w:rPr>
          <w:rFonts w:ascii="Times New Roman" w:hAnsi="Times New Roman" w:eastAsia="宋体" w:cs="Times New Roman"/>
          <w:sz w:val="24"/>
        </w:rPr>
      </w:pPr>
      <w:r>
        <w:rPr>
          <w:rFonts w:hint="eastAsia" w:ascii="宋体"/>
        </w:rPr>
        <w:t>3.此表请在参加我校复试时出示并上交。</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0B"/>
    <w:rsid w:val="0002142F"/>
    <w:rsid w:val="000240AD"/>
    <w:rsid w:val="0007182B"/>
    <w:rsid w:val="000A65E7"/>
    <w:rsid w:val="000F7016"/>
    <w:rsid w:val="00111C59"/>
    <w:rsid w:val="001255A6"/>
    <w:rsid w:val="00130655"/>
    <w:rsid w:val="00170443"/>
    <w:rsid w:val="00170A46"/>
    <w:rsid w:val="001741FB"/>
    <w:rsid w:val="001D562E"/>
    <w:rsid w:val="002002D9"/>
    <w:rsid w:val="00207D0D"/>
    <w:rsid w:val="0025071F"/>
    <w:rsid w:val="00256854"/>
    <w:rsid w:val="002C3338"/>
    <w:rsid w:val="002E03A6"/>
    <w:rsid w:val="00321724"/>
    <w:rsid w:val="00390863"/>
    <w:rsid w:val="003A4845"/>
    <w:rsid w:val="003E1F41"/>
    <w:rsid w:val="00414DBF"/>
    <w:rsid w:val="0042219F"/>
    <w:rsid w:val="00432530"/>
    <w:rsid w:val="004E7F5A"/>
    <w:rsid w:val="00527823"/>
    <w:rsid w:val="00533040"/>
    <w:rsid w:val="00567749"/>
    <w:rsid w:val="005A6958"/>
    <w:rsid w:val="00610111"/>
    <w:rsid w:val="00612D64"/>
    <w:rsid w:val="00625D58"/>
    <w:rsid w:val="00682897"/>
    <w:rsid w:val="006A7104"/>
    <w:rsid w:val="006B51E4"/>
    <w:rsid w:val="006E2A40"/>
    <w:rsid w:val="00731CBF"/>
    <w:rsid w:val="0075059E"/>
    <w:rsid w:val="00870EFB"/>
    <w:rsid w:val="008E2CEB"/>
    <w:rsid w:val="0090073A"/>
    <w:rsid w:val="00912CAA"/>
    <w:rsid w:val="00A15636"/>
    <w:rsid w:val="00A57798"/>
    <w:rsid w:val="00AD57D3"/>
    <w:rsid w:val="00B05A3D"/>
    <w:rsid w:val="00B31C85"/>
    <w:rsid w:val="00B9204C"/>
    <w:rsid w:val="00BE73A5"/>
    <w:rsid w:val="00C1010B"/>
    <w:rsid w:val="00C53890"/>
    <w:rsid w:val="00D11C96"/>
    <w:rsid w:val="00D76892"/>
    <w:rsid w:val="00E54861"/>
    <w:rsid w:val="00EA2CC7"/>
    <w:rsid w:val="00EC6EDD"/>
    <w:rsid w:val="00ED1341"/>
    <w:rsid w:val="00EF0BD9"/>
    <w:rsid w:val="00F425D3"/>
    <w:rsid w:val="00F45B42"/>
    <w:rsid w:val="00FC4BC8"/>
    <w:rsid w:val="00FD507F"/>
    <w:rsid w:val="065C32AE"/>
    <w:rsid w:val="06A255A8"/>
    <w:rsid w:val="08C46B92"/>
    <w:rsid w:val="0FF756C0"/>
    <w:rsid w:val="1C7217BC"/>
    <w:rsid w:val="2B323E65"/>
    <w:rsid w:val="3BD951D7"/>
    <w:rsid w:val="3D6F2445"/>
    <w:rsid w:val="4B5472E8"/>
    <w:rsid w:val="5B67340A"/>
    <w:rsid w:val="62467316"/>
    <w:rsid w:val="64A7516A"/>
    <w:rsid w:val="6C1E355A"/>
    <w:rsid w:val="715F099C"/>
    <w:rsid w:val="7DAE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467886" w:themeColor="hyperlink"/>
      <w:u w:val="single"/>
      <w14:textFill>
        <w14:solidFill>
          <w14:schemeClr w14:val="hlink"/>
        </w14:solidFill>
      </w14:textFill>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szCs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szCs w:val="22"/>
    </w:rPr>
  </w:style>
  <w:style w:type="character" w:customStyle="1" w:styleId="35">
    <w:name w:val="明显强调1"/>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明显参考1"/>
    <w:basedOn w:val="18"/>
    <w:qFormat/>
    <w:uiPriority w:val="32"/>
    <w:rPr>
      <w:b/>
      <w:bCs/>
      <w:smallCaps/>
      <w:color w:val="104862" w:themeColor="accent1" w:themeShade="BF"/>
      <w:spacing w:val="5"/>
    </w:rPr>
  </w:style>
  <w:style w:type="character" w:customStyle="1" w:styleId="39">
    <w:name w:val="页眉 字符"/>
    <w:basedOn w:val="18"/>
    <w:link w:val="12"/>
    <w:qFormat/>
    <w:uiPriority w:val="99"/>
    <w:rPr>
      <w:sz w:val="18"/>
      <w:szCs w:val="18"/>
    </w:rPr>
  </w:style>
  <w:style w:type="character" w:customStyle="1" w:styleId="40">
    <w:name w:val="页脚 字符"/>
    <w:basedOn w:val="18"/>
    <w:link w:val="11"/>
    <w:qFormat/>
    <w:uiPriority w:val="99"/>
    <w:rPr>
      <w:sz w:val="18"/>
      <w:szCs w:val="18"/>
    </w:rPr>
  </w:style>
  <w:style w:type="character" w:customStyle="1" w:styleId="41">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3733</Words>
  <Characters>4040</Characters>
  <Lines>170</Lines>
  <Paragraphs>161</Paragraphs>
  <TotalTime>1</TotalTime>
  <ScaleCrop>false</ScaleCrop>
  <LinksUpToDate>false</LinksUpToDate>
  <CharactersWithSpaces>4241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2025-03-12T02:18:00Z</dcterms:created>
  <dc:creator>Brian Sun</dc:creator>
  <cp:lastModifiedBy>老袁</cp:lastModifiedBy>
  <cp:lastPrinted>2025-03-19T03:01:00Z</cp:lastPrinted>
  <dcterms:modified xsi:type="dcterms:W3CDTF">2025-03-19T07:17:25Z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eyJoZGlkIjoiMmMzMzU2YzQ2MjJkNDVhNDdmY2EzMzkwOWFkYjMxY2UiLCJ1c2VySWQiOiI0NzI1MDI5NzYifQ==</vt:lpwstr>
  </property>
  <property fmtid="{D5CDD505-2E9C-101B-9397-08002B2CF9AE}" pid="3" name="KSOProductBuildVer">
    <vt:lpwstr>2052-12.1.0.20305</vt:lpwstr>
  </property>
  <property fmtid="{D5CDD505-2E9C-101B-9397-08002B2CF9AE}" pid="4" name="ICV">
    <vt:lpwstr>9D64548079754D739B7C51CDB963D2C9_13</vt:lpwstr>
  </property>
</Properties>
</file>